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E3439C">
            <w:pPr>
              <w:suppressLineNumbers/>
              <w:spacing w:after="120"/>
              <w:jc w:val="both"/>
              <w:rPr>
                <w:rFonts w:ascii="Arial" w:hAnsi="Arial"/>
                <w:b/>
                <w:bCs/>
                <w:sz w:val="26"/>
                <w:szCs w:val="26"/>
                <w:rtl/>
              </w:rPr>
            </w:pPr>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E3439C" w:rsidRDefault="000529D2" w:rsidP="00E3439C">
            <w:pPr>
              <w:suppressLineNumbers/>
              <w:spacing w:after="120"/>
              <w:rPr>
                <w:rFonts w:ascii="Arial" w:hAnsi="Arial"/>
                <w:b/>
                <w:bCs/>
                <w:sz w:val="26"/>
                <w:szCs w:val="26"/>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b/>
                  <w:bCs/>
                  <w:sz w:val="26"/>
                  <w:szCs w:val="26"/>
                  <w:rtl/>
                </w:rPr>
                <w:alias w:val="1573"/>
                <w:tag w:val="1573"/>
                <w:id w:val="-1751030614"/>
                <w:text w:multiLine="1"/>
              </w:sdtPr>
              <w:sdtEndPr/>
              <w:sdtContent>
                <w:r w:rsidR="00E3439C" w:rsidRPr="00E3439C">
                  <w:rPr>
                    <w:rFonts w:ascii="Arial" w:hAnsi="Arial" w:hint="cs"/>
                    <w:b/>
                    <w:bCs/>
                    <w:sz w:val="26"/>
                    <w:szCs w:val="26"/>
                    <w:rtl/>
                  </w:rPr>
                  <w:t xml:space="preserve">חננאל </w:t>
                </w:r>
                <w:r w:rsidRPr="00E3439C">
                  <w:rPr>
                    <w:rFonts w:ascii="Arial" w:hAnsi="Arial"/>
                    <w:b/>
                    <w:bCs/>
                    <w:sz w:val="26"/>
                    <w:szCs w:val="26"/>
                    <w:rtl/>
                  </w:rPr>
                  <w:t>שרעבי</w:t>
                </w:r>
                <w:r w:rsidR="00E3439C" w:rsidRPr="00E3439C">
                  <w:rPr>
                    <w:rFonts w:hint="cs"/>
                    <w:b/>
                    <w:bCs/>
                    <w:sz w:val="26"/>
                    <w:szCs w:val="26"/>
                    <w:rtl/>
                  </w:rPr>
                  <w:t>, אב"ד</w:t>
                </w:r>
              </w:sdtContent>
            </w:sdt>
          </w:p>
          <w:p w:rsidR="0094424E" w:rsidRPr="00E3439C" w:rsidRDefault="000529D2" w:rsidP="00E3439C">
            <w:pPr>
              <w:suppressLineNumbers/>
              <w:spacing w:after="120"/>
              <w:rPr>
                <w:rFonts w:ascii="Arial" w:hAnsi="Arial"/>
                <w:b/>
                <w:bCs/>
                <w:sz w:val="26"/>
                <w:szCs w:val="26"/>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19600070"/>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971397807"/>
                <w:text w:multiLine="1"/>
              </w:sdtPr>
              <w:sdtEndPr/>
              <w:sdtContent>
                <w:r w:rsidR="00E3439C">
                  <w:rPr>
                    <w:rFonts w:ascii="Arial" w:hAnsi="Arial" w:hint="cs"/>
                    <w:b/>
                    <w:bCs/>
                    <w:sz w:val="26"/>
                    <w:szCs w:val="26"/>
                    <w:rtl/>
                  </w:rPr>
                  <w:t xml:space="preserve">אספרנצה </w:t>
                </w:r>
                <w:r>
                  <w:rPr>
                    <w:rFonts w:ascii="Arial" w:hAnsi="Arial"/>
                    <w:b/>
                    <w:bCs/>
                    <w:sz w:val="26"/>
                    <w:szCs w:val="26"/>
                    <w:rtl/>
                  </w:rPr>
                  <w:t>אלון</w:t>
                </w:r>
              </w:sdtContent>
            </w:sdt>
          </w:p>
          <w:p w:rsidR="0094424E" w:rsidRPr="00DD05A8" w:rsidRDefault="000529D2" w:rsidP="00E3439C">
            <w:pPr>
              <w:suppressLineNumbers/>
              <w:spacing w:after="120"/>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118949301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b/>
                  <w:bCs/>
                  <w:sz w:val="26"/>
                  <w:szCs w:val="26"/>
                  <w:rtl/>
                </w:rPr>
                <w:alias w:val="1573"/>
                <w:tag w:val="1573"/>
                <w:id w:val="120188487"/>
                <w:text w:multiLine="1"/>
              </w:sdtPr>
              <w:sdtEndPr/>
              <w:sdtContent>
                <w:r w:rsidR="00E3439C" w:rsidRPr="00E3439C">
                  <w:rPr>
                    <w:rFonts w:hint="cs"/>
                    <w:b/>
                    <w:bCs/>
                    <w:sz w:val="26"/>
                    <w:szCs w:val="26"/>
                    <w:rtl/>
                  </w:rPr>
                  <w:t xml:space="preserve">אריה </w:t>
                </w:r>
                <w:r w:rsidRPr="00E3439C">
                  <w:rPr>
                    <w:rFonts w:ascii="Arial" w:hAnsi="Arial"/>
                    <w:b/>
                    <w:bCs/>
                    <w:sz w:val="26"/>
                    <w:szCs w:val="26"/>
                    <w:rtl/>
                  </w:rPr>
                  <w:t>נאמן</w:t>
                </w:r>
              </w:sdtContent>
            </w:sdt>
          </w:p>
          <w:p w:rsidR="0094424E" w:rsidRPr="00DD05A8" w:rsidRDefault="0094424E" w:rsidP="00E3439C">
            <w:pPr>
              <w:suppressLineNumbers/>
              <w:spacing w:after="120"/>
              <w:rPr>
                <w:rFonts w:ascii="Arial" w:hAnsi="Arial" w:cs="FrankRuehl"/>
                <w:sz w:val="26"/>
                <w:szCs w:val="26"/>
                <w:highlight w:val="yellow"/>
              </w:rPr>
            </w:pPr>
          </w:p>
        </w:tc>
      </w:tr>
      <w:tr w:rsidR="0094424E" w:rsidTr="00465D36">
        <w:trPr>
          <w:jc w:val="center"/>
        </w:trPr>
        <w:tc>
          <w:tcPr>
            <w:tcW w:w="3249" w:type="dxa"/>
            <w:gridSpan w:val="2"/>
          </w:tcPr>
          <w:p w:rsidR="0094424E" w:rsidRPr="00E3439C" w:rsidRDefault="0094424E" w:rsidP="00D44968">
            <w:pPr>
              <w:suppressLineNumbers/>
              <w:rPr>
                <w:rFonts w:ascii="Arial" w:hAnsi="Arial"/>
                <w:b/>
                <w:bCs/>
                <w:noProof w:val="0"/>
                <w:sz w:val="26"/>
                <w:szCs w:val="26"/>
              </w:rPr>
            </w:pPr>
          </w:p>
          <w:sdt>
            <w:sdtPr>
              <w:rPr>
                <w:sz w:val="26"/>
                <w:szCs w:val="26"/>
                <w:rtl/>
              </w:rPr>
              <w:alias w:val="1180"/>
              <w:tag w:val="1180"/>
              <w:id w:val="637458750"/>
              <w:text w:multiLine="1"/>
            </w:sdtPr>
            <w:sdtEndPr/>
            <w:sdtContent>
              <w:p w:rsidR="001242B0" w:rsidRPr="00E3439C" w:rsidRDefault="00BD3E10">
                <w:pPr>
                  <w:suppressLineNumbers/>
                  <w:rPr>
                    <w:rFonts w:ascii="Arial" w:hAnsi="Arial"/>
                    <w:b/>
                    <w:bCs/>
                    <w:noProof w:val="0"/>
                    <w:sz w:val="26"/>
                    <w:szCs w:val="26"/>
                    <w:rtl/>
                  </w:rPr>
                </w:pPr>
                <w:r w:rsidRPr="00E3439C">
                  <w:rPr>
                    <w:rFonts w:ascii="Arial" w:hAnsi="Arial"/>
                    <w:b/>
                    <w:bCs/>
                    <w:noProof w:val="0"/>
                    <w:sz w:val="26"/>
                    <w:szCs w:val="26"/>
                    <w:rtl/>
                  </w:rPr>
                  <w:t>מערערים</w:t>
                </w:r>
              </w:p>
            </w:sdtContent>
          </w:sdt>
        </w:tc>
        <w:tc>
          <w:tcPr>
            <w:tcW w:w="5571" w:type="dxa"/>
          </w:tcPr>
          <w:p w:rsidR="0094424E" w:rsidRPr="00E3439C" w:rsidRDefault="0094424E" w:rsidP="00D44968">
            <w:pPr>
              <w:suppressLineNumbers/>
              <w:rPr>
                <w:rFonts w:ascii="Arial" w:hAnsi="Arial"/>
                <w:b/>
                <w:bCs/>
                <w:noProof w:val="0"/>
                <w:sz w:val="26"/>
                <w:szCs w:val="26"/>
                <w:rtl/>
              </w:rPr>
            </w:pPr>
          </w:p>
          <w:p w:rsidR="0094424E" w:rsidRPr="00E3439C" w:rsidRDefault="00A168D0" w:rsidP="00ED49A2">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sidRPr="00E3439C">
                  <w:rPr>
                    <w:rFonts w:ascii="Arial" w:hAnsi="Arial"/>
                    <w:b/>
                    <w:bCs/>
                    <w:noProof w:val="0"/>
                    <w:sz w:val="26"/>
                    <w:szCs w:val="26"/>
                    <w:rtl/>
                  </w:rPr>
                  <w:t>1</w:t>
                </w:r>
              </w:sdtContent>
            </w:sdt>
            <w:r w:rsidR="0094424E" w:rsidRPr="00E3439C">
              <w:rPr>
                <w:rFonts w:ascii="Arial" w:hAnsi="Arial"/>
                <w:b/>
                <w:bCs/>
                <w:noProof w:val="0"/>
                <w:sz w:val="26"/>
                <w:szCs w:val="26"/>
                <w:rtl/>
              </w:rPr>
              <w:t>.</w:t>
            </w:r>
            <w:r w:rsidR="007C2453" w:rsidRPr="00E3439C">
              <w:rPr>
                <w:rFonts w:ascii="Arial" w:hAnsi="Arial" w:hint="cs"/>
                <w:b/>
                <w:bCs/>
                <w:noProof w:val="0"/>
                <w:sz w:val="26"/>
                <w:szCs w:val="26"/>
                <w:rtl/>
              </w:rPr>
              <w:t xml:space="preserve"> </w:t>
            </w:r>
            <w:r w:rsidR="00ED49A2">
              <w:rPr>
                <w:rFonts w:ascii="Arial" w:hAnsi="Arial" w:hint="cs"/>
                <w:b/>
                <w:bCs/>
                <w:noProof w:val="0"/>
                <w:sz w:val="26"/>
                <w:szCs w:val="26"/>
                <w:rtl/>
              </w:rPr>
              <w:t>י. ח</w:t>
            </w:r>
          </w:p>
          <w:p w:rsidR="0094424E" w:rsidRDefault="00A168D0" w:rsidP="00ED49A2">
            <w:pPr>
              <w:suppressLineNumbers/>
              <w:spacing w:line="360" w:lineRule="auto"/>
              <w:rPr>
                <w:b/>
                <w:bCs/>
                <w:noProof w:val="0"/>
                <w:sz w:val="26"/>
                <w:szCs w:val="26"/>
                <w:rtl/>
              </w:rPr>
            </w:pPr>
            <w:sdt>
              <w:sdtPr>
                <w:rPr>
                  <w:rFonts w:ascii="Arial" w:hAnsi="Arial"/>
                  <w:b/>
                  <w:bCs/>
                  <w:noProof w:val="0"/>
                  <w:sz w:val="26"/>
                  <w:szCs w:val="26"/>
                  <w:rtl/>
                </w:rPr>
                <w:alias w:val="1462"/>
                <w:tag w:val="1462"/>
                <w:id w:val="1150405077"/>
                <w:text w:multiLine="1"/>
              </w:sdtPr>
              <w:sdtEndPr/>
              <w:sdtContent>
                <w:r w:rsidR="00424313" w:rsidRPr="00E3439C">
                  <w:rPr>
                    <w:rFonts w:ascii="Arial" w:hAnsi="Arial"/>
                    <w:b/>
                    <w:bCs/>
                    <w:noProof w:val="0"/>
                    <w:sz w:val="26"/>
                    <w:szCs w:val="26"/>
                    <w:rtl/>
                  </w:rPr>
                  <w:t>2</w:t>
                </w:r>
              </w:sdtContent>
            </w:sdt>
            <w:r w:rsidR="0094424E" w:rsidRPr="00E3439C">
              <w:rPr>
                <w:rFonts w:ascii="Arial" w:hAnsi="Arial"/>
                <w:b/>
                <w:bCs/>
                <w:noProof w:val="0"/>
                <w:sz w:val="26"/>
                <w:szCs w:val="26"/>
                <w:rtl/>
              </w:rPr>
              <w:t>.</w:t>
            </w:r>
            <w:r w:rsidR="007C2453" w:rsidRPr="00E3439C">
              <w:rPr>
                <w:rFonts w:ascii="Arial" w:hAnsi="Arial" w:hint="cs"/>
                <w:b/>
                <w:bCs/>
                <w:noProof w:val="0"/>
                <w:sz w:val="26"/>
                <w:szCs w:val="26"/>
                <w:rtl/>
              </w:rPr>
              <w:t xml:space="preserve"> </w:t>
            </w:r>
            <w:r w:rsidR="00ED49A2">
              <w:rPr>
                <w:rFonts w:ascii="Arial" w:hAnsi="Arial" w:hint="cs"/>
                <w:b/>
                <w:bCs/>
                <w:noProof w:val="0"/>
                <w:sz w:val="26"/>
                <w:szCs w:val="26"/>
                <w:rtl/>
              </w:rPr>
              <w:t>ת. ח</w:t>
            </w:r>
          </w:p>
          <w:p w:rsidR="00E3439C" w:rsidRPr="00E3439C" w:rsidRDefault="00E3439C" w:rsidP="00E3439C">
            <w:pPr>
              <w:suppressLineNumbers/>
              <w:rPr>
                <w:b/>
                <w:bCs/>
                <w:noProof w:val="0"/>
                <w:sz w:val="26"/>
                <w:szCs w:val="26"/>
              </w:rPr>
            </w:pPr>
            <w:r>
              <w:rPr>
                <w:rFonts w:hint="cs"/>
                <w:b/>
                <w:bCs/>
                <w:noProof w:val="0"/>
                <w:sz w:val="26"/>
                <w:szCs w:val="26"/>
                <w:rtl/>
              </w:rPr>
              <w:t>ע"י ב</w:t>
            </w:r>
            <w:r w:rsidRPr="00E3439C">
              <w:rPr>
                <w:rFonts w:hint="cs"/>
                <w:b/>
                <w:bCs/>
                <w:noProof w:val="0"/>
                <w:sz w:val="26"/>
                <w:szCs w:val="26"/>
                <w:rtl/>
              </w:rPr>
              <w:t xml:space="preserve">"כ </w:t>
            </w:r>
            <w:r w:rsidRPr="00E3439C">
              <w:rPr>
                <w:b/>
                <w:bCs/>
                <w:sz w:val="26"/>
                <w:szCs w:val="26"/>
                <w:rtl/>
              </w:rPr>
              <w:t>עו"ד יהושע רובין</w:t>
            </w:r>
          </w:p>
        </w:tc>
      </w:tr>
      <w:tr w:rsidR="0094424E">
        <w:trPr>
          <w:jc w:val="center"/>
        </w:trPr>
        <w:tc>
          <w:tcPr>
            <w:tcW w:w="8820" w:type="dxa"/>
            <w:gridSpan w:val="3"/>
          </w:tcPr>
          <w:p w:rsidR="0094424E" w:rsidRPr="00E3439C" w:rsidRDefault="0094424E" w:rsidP="00D44968">
            <w:pPr>
              <w:suppressLineNumbers/>
              <w:rPr>
                <w:rFonts w:ascii="Arial" w:hAnsi="Arial"/>
                <w:b/>
                <w:bCs/>
                <w:noProof w:val="0"/>
                <w:sz w:val="26"/>
                <w:szCs w:val="26"/>
                <w:rtl/>
              </w:rPr>
            </w:pPr>
          </w:p>
          <w:p w:rsidR="0094424E" w:rsidRPr="00E3439C" w:rsidRDefault="0094424E" w:rsidP="00D44968">
            <w:pPr>
              <w:suppressLineNumbers/>
              <w:jc w:val="center"/>
              <w:rPr>
                <w:rFonts w:ascii="Arial" w:hAnsi="Arial"/>
                <w:b/>
                <w:bCs/>
                <w:noProof w:val="0"/>
                <w:sz w:val="26"/>
                <w:szCs w:val="26"/>
                <w:rtl/>
              </w:rPr>
            </w:pPr>
            <w:r w:rsidRPr="00E3439C">
              <w:rPr>
                <w:rFonts w:ascii="Arial" w:hAnsi="Arial"/>
                <w:b/>
                <w:bCs/>
                <w:noProof w:val="0"/>
                <w:sz w:val="26"/>
                <w:szCs w:val="26"/>
                <w:rtl/>
              </w:rPr>
              <w:t>נגד</w:t>
            </w:r>
          </w:p>
          <w:p w:rsidR="0094424E" w:rsidRPr="00E3439C"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Pr="00E3439C" w:rsidRDefault="00A168D0" w:rsidP="009E461A">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E3439C" w:rsidRPr="00E3439C">
                  <w:rPr>
                    <w:rFonts w:ascii="Arial" w:hAnsi="Arial"/>
                    <w:b/>
                    <w:bCs/>
                    <w:noProof w:val="0"/>
                    <w:sz w:val="26"/>
                    <w:szCs w:val="26"/>
                    <w:rtl/>
                  </w:rPr>
                  <w:t>משיב</w:t>
                </w:r>
                <w:r w:rsidR="00E3439C" w:rsidRPr="00E3439C">
                  <w:rPr>
                    <w:rFonts w:ascii="Arial" w:hAnsi="Arial" w:hint="cs"/>
                    <w:b/>
                    <w:bCs/>
                    <w:noProof w:val="0"/>
                    <w:sz w:val="26"/>
                    <w:szCs w:val="26"/>
                    <w:rtl/>
                  </w:rPr>
                  <w:t>ה</w:t>
                </w:r>
              </w:sdtContent>
            </w:sdt>
          </w:p>
        </w:tc>
        <w:tc>
          <w:tcPr>
            <w:tcW w:w="5571" w:type="dxa"/>
          </w:tcPr>
          <w:p w:rsidR="00CF6BB7" w:rsidRPr="00E3439C" w:rsidRDefault="00ED49A2" w:rsidP="00ED49A2">
            <w:pPr>
              <w:suppressLineNumbers/>
              <w:spacing w:line="360" w:lineRule="auto"/>
              <w:rPr>
                <w:b/>
                <w:bCs/>
                <w:sz w:val="26"/>
                <w:szCs w:val="26"/>
                <w:rtl/>
              </w:rPr>
            </w:pPr>
            <w:r>
              <w:rPr>
                <w:rFonts w:ascii="Arial" w:hAnsi="Arial" w:hint="cs"/>
                <w:b/>
                <w:bCs/>
                <w:noProof w:val="0"/>
                <w:sz w:val="26"/>
                <w:szCs w:val="26"/>
                <w:rtl/>
              </w:rPr>
              <w:t>א. ח</w:t>
            </w:r>
          </w:p>
          <w:p w:rsidR="00E3439C" w:rsidRPr="00E3439C" w:rsidRDefault="00E3439C" w:rsidP="00E3439C">
            <w:pPr>
              <w:suppressLineNumbers/>
              <w:spacing w:line="360" w:lineRule="auto"/>
              <w:rPr>
                <w:b/>
                <w:bCs/>
                <w:sz w:val="26"/>
                <w:szCs w:val="26"/>
                <w:rtl/>
              </w:rPr>
            </w:pPr>
            <w:r w:rsidRPr="00E3439C">
              <w:rPr>
                <w:rFonts w:hint="cs"/>
                <w:b/>
                <w:bCs/>
                <w:sz w:val="26"/>
                <w:szCs w:val="26"/>
                <w:rtl/>
              </w:rPr>
              <w:t xml:space="preserve">ע"י ב"כ </w:t>
            </w:r>
            <w:r w:rsidRPr="00E3439C">
              <w:rPr>
                <w:b/>
                <w:bCs/>
                <w:sz w:val="26"/>
                <w:szCs w:val="26"/>
                <w:rtl/>
              </w:rPr>
              <w:t>עו"ד סמאח אבו גליל חטיב</w:t>
            </w:r>
          </w:p>
        </w:tc>
      </w:tr>
    </w:tbl>
    <w:p w:rsidR="0094424E" w:rsidRDefault="0094424E" w:rsidP="00D44968">
      <w:pPr>
        <w:suppressLineNumbers/>
        <w:rPr>
          <w:rtl/>
        </w:rPr>
      </w:pPr>
    </w:p>
    <w:p w:rsidR="00E3439C" w:rsidRDefault="00E3439C"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rsidP="00E3439C">
            <w:pPr>
              <w:bidi w:val="0"/>
              <w:spacing w:line="360" w:lineRule="auto"/>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E3439C" w:rsidRDefault="00E3439C" w:rsidP="00E3439C">
      <w:pPr>
        <w:spacing w:after="120" w:line="360" w:lineRule="auto"/>
        <w:rPr>
          <w:rtl/>
        </w:rPr>
      </w:pPr>
      <w:bookmarkStart w:id="0" w:name="NGCSBookmark"/>
      <w:bookmarkEnd w:id="0"/>
      <w:r w:rsidRPr="00E3439C">
        <w:rPr>
          <w:rFonts w:hint="cs"/>
          <w:b/>
          <w:bCs/>
          <w:u w:val="single"/>
          <w:rtl/>
        </w:rPr>
        <w:t>כב' השופט אריה נאמן</w:t>
      </w:r>
      <w:r>
        <w:rPr>
          <w:rFonts w:hint="cs"/>
          <w:rtl/>
        </w:rPr>
        <w:t>:</w:t>
      </w:r>
    </w:p>
    <w:p w:rsidR="00E3439C" w:rsidRDefault="00E3439C" w:rsidP="001A7D02">
      <w:pPr>
        <w:spacing w:after="120" w:line="360" w:lineRule="auto"/>
        <w:jc w:val="both"/>
        <w:rPr>
          <w:rtl/>
        </w:rPr>
      </w:pPr>
      <w:r>
        <w:rPr>
          <w:rFonts w:hint="cs"/>
          <w:rtl/>
        </w:rPr>
        <w:t>לפנינו ערעור על פסק דינו של בימ"ש קמא מיום 11.5.23 (כב' השופטת מאיה לוי) במסגרתו דחתה את כל תביעות המערערים, למעט רכיב איזון המשאבים שהתקבל בהתאם לחוו"ד מומחה.</w:t>
      </w:r>
    </w:p>
    <w:p w:rsidR="00E3439C" w:rsidRDefault="00E3439C" w:rsidP="00703B7A">
      <w:pPr>
        <w:spacing w:after="120" w:line="360" w:lineRule="auto"/>
        <w:jc w:val="both"/>
        <w:rPr>
          <w:rtl/>
        </w:rPr>
      </w:pPr>
      <w:r>
        <w:rPr>
          <w:rFonts w:hint="cs"/>
          <w:rtl/>
        </w:rPr>
        <w:t>נקדים ונאמר, כי דין הערעור להידחות</w:t>
      </w:r>
      <w:r w:rsidRPr="003B432C">
        <w:rPr>
          <w:rFonts w:ascii="Arial" w:hAnsi="Arial" w:hint="cs"/>
          <w:rtl/>
        </w:rPr>
        <w:t xml:space="preserve"> </w:t>
      </w:r>
      <w:r>
        <w:rPr>
          <w:rFonts w:ascii="Arial" w:hAnsi="Arial" w:hint="cs"/>
          <w:rtl/>
        </w:rPr>
        <w:t>עפ"י תקנה</w:t>
      </w:r>
      <w:r w:rsidRPr="00275E39">
        <w:rPr>
          <w:rFonts w:ascii="Arial" w:hAnsi="Arial"/>
          <w:rtl/>
        </w:rPr>
        <w:t xml:space="preserve"> 148(ב) לתקנות סדר הדין האזרחי התשע"ט-2018</w:t>
      </w:r>
      <w:r>
        <w:rPr>
          <w:rFonts w:ascii="Arial" w:hAnsi="Arial" w:hint="cs"/>
          <w:rtl/>
        </w:rPr>
        <w:t>, ונרחיב קמעא, למען לא יצא חסר:</w:t>
      </w:r>
    </w:p>
    <w:p w:rsidR="001B2C1F" w:rsidRDefault="001B2C1F" w:rsidP="001A7D02">
      <w:pPr>
        <w:spacing w:after="120" w:line="360" w:lineRule="auto"/>
        <w:jc w:val="both"/>
        <w:rPr>
          <w:rtl/>
        </w:rPr>
      </w:pPr>
    </w:p>
    <w:p w:rsidR="00E3439C" w:rsidRDefault="00E3439C" w:rsidP="001A7D02">
      <w:pPr>
        <w:spacing w:after="120" w:line="360" w:lineRule="auto"/>
        <w:jc w:val="both"/>
        <w:rPr>
          <w:rtl/>
        </w:rPr>
      </w:pPr>
      <w:r w:rsidRPr="00150346">
        <w:rPr>
          <w:rFonts w:hint="cs"/>
          <w:b/>
          <w:bCs/>
          <w:u w:val="single"/>
          <w:rtl/>
        </w:rPr>
        <w:t>ההליך הדיוני</w:t>
      </w:r>
      <w:r>
        <w:rPr>
          <w:rFonts w:hint="cs"/>
          <w:b/>
          <w:bCs/>
          <w:u w:val="single"/>
          <w:rtl/>
        </w:rPr>
        <w:t xml:space="preserve"> בבימ"ש קמא</w:t>
      </w:r>
    </w:p>
    <w:p w:rsidR="00E3439C" w:rsidRDefault="00E3439C" w:rsidP="001A7D02">
      <w:pPr>
        <w:pStyle w:val="ad"/>
        <w:numPr>
          <w:ilvl w:val="0"/>
          <w:numId w:val="1"/>
        </w:numPr>
        <w:spacing w:after="120" w:line="360" w:lineRule="auto"/>
        <w:ind w:left="368"/>
        <w:contextualSpacing w:val="0"/>
      </w:pPr>
      <w:r>
        <w:rPr>
          <w:rFonts w:hint="cs"/>
          <w:rtl/>
        </w:rPr>
        <w:t xml:space="preserve">הגם שבכותרת פסה"ד צויין מספר תיק אחד בלבד, פס"ד קמא עסק ב-4 תובענות/הליכים שנקטו המערערים (להלן בהתאמה: </w:t>
      </w:r>
      <w:r w:rsidRPr="003B0D8B">
        <w:rPr>
          <w:rFonts w:hint="cs"/>
          <w:u w:val="single"/>
          <w:rtl/>
        </w:rPr>
        <w:t>"המערער"</w:t>
      </w:r>
      <w:r>
        <w:rPr>
          <w:rFonts w:hint="cs"/>
          <w:rtl/>
        </w:rPr>
        <w:t xml:space="preserve">; </w:t>
      </w:r>
      <w:r w:rsidRPr="003B0D8B">
        <w:rPr>
          <w:rFonts w:hint="cs"/>
          <w:u w:val="single"/>
          <w:rtl/>
        </w:rPr>
        <w:t>"המערערת"</w:t>
      </w:r>
      <w:r>
        <w:rPr>
          <w:rFonts w:hint="cs"/>
          <w:rtl/>
        </w:rPr>
        <w:t>;), ביחד ולחוד, כנגד המשיבה:</w:t>
      </w:r>
    </w:p>
    <w:p w:rsidR="00E3439C" w:rsidRDefault="00E3439C" w:rsidP="001A7D02">
      <w:pPr>
        <w:pStyle w:val="ad"/>
        <w:spacing w:after="120" w:line="360" w:lineRule="auto"/>
        <w:ind w:left="368"/>
        <w:contextualSpacing w:val="0"/>
        <w:rPr>
          <w:rtl/>
        </w:rPr>
      </w:pPr>
      <w:r w:rsidRPr="003B432C">
        <w:rPr>
          <w:rFonts w:hint="cs"/>
          <w:u w:val="single"/>
          <w:rtl/>
        </w:rPr>
        <w:t>תמ"ש 69973-07-17</w:t>
      </w:r>
      <w:r>
        <w:rPr>
          <w:rFonts w:hint="cs"/>
          <w:rtl/>
        </w:rPr>
        <w:t xml:space="preserve"> &gt; תובענה רכושית ואיזון משאבים;</w:t>
      </w:r>
    </w:p>
    <w:p w:rsidR="00E3439C" w:rsidRDefault="00E3439C" w:rsidP="001A7D02">
      <w:pPr>
        <w:pStyle w:val="ad"/>
        <w:spacing w:after="120" w:line="360" w:lineRule="auto"/>
        <w:ind w:left="368"/>
        <w:contextualSpacing w:val="0"/>
        <w:rPr>
          <w:rtl/>
        </w:rPr>
      </w:pPr>
      <w:r w:rsidRPr="003B432C">
        <w:rPr>
          <w:rFonts w:hint="cs"/>
          <w:u w:val="single"/>
          <w:rtl/>
        </w:rPr>
        <w:t>ע"ר 57737-02-22</w:t>
      </w:r>
      <w:r>
        <w:rPr>
          <w:rFonts w:hint="cs"/>
          <w:rtl/>
        </w:rPr>
        <w:t xml:space="preserve"> &gt; ערעור בעניין תיק הוצל"פ-מזונות על כך שרשמת ההוצאה לפועל דחתה את בקשת המערער לסגור את תיק ההוצל"פ;</w:t>
      </w:r>
    </w:p>
    <w:p w:rsidR="00E3439C" w:rsidRDefault="00E3439C" w:rsidP="001A7D02">
      <w:pPr>
        <w:pStyle w:val="ad"/>
        <w:spacing w:after="120" w:line="360" w:lineRule="auto"/>
        <w:ind w:left="368"/>
        <w:contextualSpacing w:val="0"/>
        <w:rPr>
          <w:rtl/>
        </w:rPr>
      </w:pPr>
      <w:r w:rsidRPr="003B432C">
        <w:rPr>
          <w:rFonts w:hint="cs"/>
          <w:u w:val="single"/>
          <w:rtl/>
        </w:rPr>
        <w:t>תמ"ש 69893-07-17 ותמ"ש 12931-08-19</w:t>
      </w:r>
      <w:r>
        <w:rPr>
          <w:rFonts w:hint="cs"/>
          <w:rtl/>
        </w:rPr>
        <w:t xml:space="preserve"> &gt; תובענות לפיצויים נזיקיים בגין טענות לשון הרע והוצאת דיבה שהוציאה המשיבה כנגד המערערים לטענתם;</w:t>
      </w:r>
    </w:p>
    <w:p w:rsidR="00E3439C" w:rsidRDefault="00E3439C" w:rsidP="001A7D02">
      <w:pPr>
        <w:pStyle w:val="ad"/>
        <w:numPr>
          <w:ilvl w:val="0"/>
          <w:numId w:val="1"/>
        </w:numPr>
        <w:spacing w:after="120" w:line="360" w:lineRule="auto"/>
        <w:ind w:left="368"/>
        <w:contextualSpacing w:val="0"/>
      </w:pPr>
      <w:r>
        <w:rPr>
          <w:rFonts w:hint="cs"/>
          <w:rtl/>
        </w:rPr>
        <w:t>ביום 18.2.19 התקיים דיון, לאחר שכבר הייתה קיימת בתיק חוו"ד המומחה לעניין איזון זכויות הצדדים, ובסיום הדיון הוחלט על הגשת תצהירי עדות ראשית והתיקים נקבעו להוכחות.</w:t>
      </w:r>
    </w:p>
    <w:p w:rsidR="00E3439C" w:rsidRDefault="00E3439C" w:rsidP="001A7D02">
      <w:pPr>
        <w:pStyle w:val="ad"/>
        <w:numPr>
          <w:ilvl w:val="0"/>
          <w:numId w:val="1"/>
        </w:numPr>
        <w:spacing w:after="120" w:line="360" w:lineRule="auto"/>
        <w:ind w:left="368"/>
        <w:contextualSpacing w:val="0"/>
      </w:pPr>
      <w:r>
        <w:rPr>
          <w:rFonts w:hint="cs"/>
          <w:rtl/>
        </w:rPr>
        <w:lastRenderedPageBreak/>
        <w:t xml:space="preserve">הצדדים הגישו תצהיריהם, אליהם </w:t>
      </w:r>
      <w:r w:rsidRPr="00150346">
        <w:rPr>
          <w:rFonts w:hint="cs"/>
          <w:u w:val="single"/>
          <w:rtl/>
        </w:rPr>
        <w:t>לא צורפו</w:t>
      </w:r>
      <w:r>
        <w:rPr>
          <w:rFonts w:hint="cs"/>
          <w:rtl/>
        </w:rPr>
        <w:t xml:space="preserve"> תצהירים של עדים נוספים אלא אך ורק נספחים שונים, ובדיון שהיה קבוע לשמיעת ראיות (20.2.23), </w:t>
      </w:r>
      <w:r w:rsidRPr="00185F69">
        <w:rPr>
          <w:rFonts w:hint="cs"/>
          <w:u w:val="single"/>
          <w:rtl/>
        </w:rPr>
        <w:t>הציע ב"כ המערערים</w:t>
      </w:r>
      <w:r>
        <w:rPr>
          <w:rFonts w:hint="cs"/>
          <w:rtl/>
        </w:rPr>
        <w:t xml:space="preserve"> כי הצדדים </w:t>
      </w:r>
      <w:r w:rsidRPr="00150346">
        <w:rPr>
          <w:rFonts w:hint="cs"/>
          <w:b/>
          <w:bCs/>
          <w:rtl/>
        </w:rPr>
        <w:t>יוותרו על קיום ההוכחות</w:t>
      </w:r>
      <w:r>
        <w:rPr>
          <w:rFonts w:hint="cs"/>
          <w:rtl/>
        </w:rPr>
        <w:t xml:space="preserve"> ויסתפקו בהגשת סיכומים </w:t>
      </w:r>
      <w:r w:rsidRPr="00BE7979">
        <w:rPr>
          <w:rFonts w:hint="cs"/>
          <w:u w:val="single"/>
          <w:rtl/>
        </w:rPr>
        <w:t>וביהמ"ש ייתן</w:t>
      </w:r>
      <w:r w:rsidRPr="00150346">
        <w:rPr>
          <w:rFonts w:hint="cs"/>
          <w:u w:val="single"/>
          <w:rtl/>
        </w:rPr>
        <w:t xml:space="preserve"> פסק-דין על סמך החומר שבתיק</w:t>
      </w:r>
      <w:r>
        <w:rPr>
          <w:rFonts w:hint="cs"/>
          <w:rtl/>
        </w:rPr>
        <w:t>:</w:t>
      </w:r>
    </w:p>
    <w:p w:rsidR="00E3439C" w:rsidRDefault="00E3439C" w:rsidP="001A7D02">
      <w:pPr>
        <w:pStyle w:val="ad"/>
        <w:spacing w:after="120" w:line="360" w:lineRule="auto"/>
        <w:contextualSpacing w:val="0"/>
        <w:rPr>
          <w:rtl/>
        </w:rPr>
      </w:pPr>
      <w:r w:rsidRPr="00185F69">
        <w:rPr>
          <w:noProof/>
          <w:rtl/>
        </w:rPr>
        <w:drawing>
          <wp:anchor distT="0" distB="0" distL="114300" distR="114300" simplePos="0" relativeHeight="251659264" behindDoc="0" locked="0" layoutInCell="1" allowOverlap="1" wp14:anchorId="5940F79E" wp14:editId="2C684131">
            <wp:simplePos x="0" y="0"/>
            <wp:positionH relativeFrom="margin">
              <wp:align>center</wp:align>
            </wp:positionH>
            <wp:positionV relativeFrom="paragraph">
              <wp:posOffset>12065</wp:posOffset>
            </wp:positionV>
            <wp:extent cx="4512310" cy="637243"/>
            <wp:effectExtent l="0" t="0" r="254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512310" cy="637243"/>
                    </a:xfrm>
                    <a:prstGeom prst="rect">
                      <a:avLst/>
                    </a:prstGeom>
                  </pic:spPr>
                </pic:pic>
              </a:graphicData>
            </a:graphic>
            <wp14:sizeRelH relativeFrom="page">
              <wp14:pctWidth>0</wp14:pctWidth>
            </wp14:sizeRelH>
            <wp14:sizeRelV relativeFrom="page">
              <wp14:pctHeight>0</wp14:pctHeight>
            </wp14:sizeRelV>
          </wp:anchor>
        </w:drawing>
      </w:r>
    </w:p>
    <w:p w:rsidR="00E3439C" w:rsidRDefault="00E3439C" w:rsidP="001A7D02">
      <w:pPr>
        <w:spacing w:after="120" w:line="360" w:lineRule="auto"/>
        <w:jc w:val="both"/>
      </w:pPr>
    </w:p>
    <w:p w:rsidR="00E3439C" w:rsidRDefault="001A7D02" w:rsidP="001A7D02">
      <w:pPr>
        <w:spacing w:before="240" w:after="120" w:line="360" w:lineRule="auto"/>
        <w:ind w:left="368"/>
        <w:jc w:val="both"/>
        <w:rPr>
          <w:rtl/>
        </w:rPr>
      </w:pPr>
      <w:r>
        <w:rPr>
          <w:rFonts w:hint="cs"/>
          <w:rtl/>
        </w:rPr>
        <w:t>ה</w:t>
      </w:r>
      <w:r w:rsidR="00E3439C">
        <w:rPr>
          <w:rFonts w:hint="cs"/>
          <w:rtl/>
        </w:rPr>
        <w:t xml:space="preserve">יינו, המערערים </w:t>
      </w:r>
      <w:r w:rsidR="00E3439C" w:rsidRPr="00150346">
        <w:rPr>
          <w:rFonts w:hint="cs"/>
          <w:u w:val="single"/>
          <w:rtl/>
        </w:rPr>
        <w:t>הציעו והסכימו</w:t>
      </w:r>
      <w:r w:rsidR="00E3439C">
        <w:rPr>
          <w:rFonts w:hint="cs"/>
          <w:rtl/>
        </w:rPr>
        <w:t xml:space="preserve"> לוותר למעשה על הליך שמיעת ראיות מטעמם ולהסתפק בחומר הקיים בתיק לרבות התצהירים והנספחים שצורפו אליהם כמות שהם; יתירה מזו, אף בתצהיריהם ציין כל אחד מהמערערים במפורש בסוף כל תצהיר: </w:t>
      </w:r>
      <w:r w:rsidR="00E3439C" w:rsidRPr="00172209">
        <w:rPr>
          <w:rFonts w:ascii="Aharoni" w:hAnsi="Aharoni" w:cs="Aharoni"/>
          <w:rtl/>
        </w:rPr>
        <w:t>"בשלב זה יש קושי להעיד עדים נוספים, ככל שיתאפשר בהמשך ההליך, תוגש בקשה מתאימה לבית המשפט"</w:t>
      </w:r>
      <w:r w:rsidR="00E3439C">
        <w:rPr>
          <w:rFonts w:hint="cs"/>
          <w:rtl/>
        </w:rPr>
        <w:t xml:space="preserve">. &gt;&gt; היינו המערערים הודו במפורש בתצהיריהם כי </w:t>
      </w:r>
      <w:r w:rsidR="00E3439C" w:rsidRPr="00150346">
        <w:rPr>
          <w:rFonts w:hint="cs"/>
          <w:u w:val="single"/>
          <w:rtl/>
        </w:rPr>
        <w:t>אין להם עדים</w:t>
      </w:r>
      <w:r w:rsidR="00E3439C">
        <w:rPr>
          <w:rFonts w:hint="cs"/>
          <w:rtl/>
        </w:rPr>
        <w:t xml:space="preserve"> מעבר לחומר הקיים בתיק </w:t>
      </w:r>
      <w:r w:rsidR="00E3439C" w:rsidRPr="00150346">
        <w:rPr>
          <w:rFonts w:hint="cs"/>
          <w:u w:val="single"/>
          <w:rtl/>
        </w:rPr>
        <w:t>ובאופן מודע וויתרו על זכותם להוכיח את טענותיהם באמצעות ראיות</w:t>
      </w:r>
      <w:r w:rsidR="00E3439C">
        <w:rPr>
          <w:rFonts w:hint="cs"/>
          <w:u w:val="single"/>
          <w:rtl/>
        </w:rPr>
        <w:t xml:space="preserve"> חיצוניות ו/או עדים ו/או באמצעות חקירת המשיבה</w:t>
      </w:r>
      <w:r w:rsidR="00E3439C" w:rsidRPr="00BE7979">
        <w:rPr>
          <w:rFonts w:hint="cs"/>
          <w:rtl/>
        </w:rPr>
        <w:t xml:space="preserve">. </w:t>
      </w:r>
      <w:r w:rsidR="00E3439C">
        <w:rPr>
          <w:rFonts w:hint="cs"/>
          <w:rtl/>
        </w:rPr>
        <w:t xml:space="preserve"> </w:t>
      </w:r>
    </w:p>
    <w:p w:rsidR="00E3439C" w:rsidRDefault="00E3439C" w:rsidP="001A7D02">
      <w:pPr>
        <w:pStyle w:val="ad"/>
        <w:numPr>
          <w:ilvl w:val="0"/>
          <w:numId w:val="1"/>
        </w:numPr>
        <w:spacing w:after="120" w:line="360" w:lineRule="auto"/>
        <w:ind w:left="368"/>
        <w:contextualSpacing w:val="0"/>
      </w:pPr>
      <w:r>
        <w:rPr>
          <w:rFonts w:hint="cs"/>
          <w:rtl/>
        </w:rPr>
        <w:t xml:space="preserve">המשיבה הסכימה להצעת ב"כ המערערים הנ"ל וניתן תוקף של החלטה להסדר הדיוני, על פיו </w:t>
      </w:r>
      <w:r w:rsidRPr="00185F69">
        <w:rPr>
          <w:rFonts w:ascii="Aharoni" w:hAnsi="Aharoni" w:cs="Aharoni"/>
          <w:rtl/>
        </w:rPr>
        <w:t>"תינתן הכרעה על סמך כל החומר שבתיק, לרבות ס</w:t>
      </w:r>
      <w:r>
        <w:rPr>
          <w:rFonts w:ascii="Aharoni" w:hAnsi="Aharoni" w:cs="Aharoni"/>
          <w:rtl/>
        </w:rPr>
        <w:t xml:space="preserve">יכומי הצדדים ומבלי שכל צד יודה </w:t>
      </w:r>
      <w:r>
        <w:rPr>
          <w:rFonts w:ascii="Aharoni" w:hAnsi="Aharoni" w:cs="Aharoni" w:hint="cs"/>
          <w:rtl/>
        </w:rPr>
        <w:t>ב</w:t>
      </w:r>
      <w:r w:rsidRPr="00185F69">
        <w:rPr>
          <w:rFonts w:ascii="Aharoni" w:hAnsi="Aharoni" w:cs="Aharoni"/>
          <w:rtl/>
        </w:rPr>
        <w:t>טענות הצד שכנגד ומבלי לקיים ישיבת הוכחות."</w:t>
      </w:r>
      <w:r>
        <w:rPr>
          <w:rFonts w:hint="cs"/>
          <w:rtl/>
        </w:rPr>
        <w:t xml:space="preserve"> </w:t>
      </w:r>
    </w:p>
    <w:p w:rsidR="00E3439C" w:rsidRDefault="00E3439C" w:rsidP="001A7D02">
      <w:pPr>
        <w:pStyle w:val="ad"/>
        <w:spacing w:after="120" w:line="360" w:lineRule="auto"/>
        <w:ind w:left="368"/>
        <w:contextualSpacing w:val="0"/>
      </w:pPr>
      <w:r>
        <w:rPr>
          <w:rFonts w:hint="cs"/>
          <w:rtl/>
        </w:rPr>
        <w:t>ואכן הצדדים הגישו סיכומיהם וניתן פסה"ד מושא הערעור כדלהלן:</w:t>
      </w:r>
    </w:p>
    <w:p w:rsidR="00E3439C" w:rsidRDefault="00E3439C" w:rsidP="001A7D02">
      <w:pPr>
        <w:pStyle w:val="ad"/>
        <w:spacing w:after="120" w:line="360" w:lineRule="auto"/>
        <w:ind w:left="368"/>
        <w:contextualSpacing w:val="0"/>
        <w:rPr>
          <w:rtl/>
        </w:rPr>
      </w:pPr>
    </w:p>
    <w:p w:rsidR="00E3439C" w:rsidRPr="00CF1284" w:rsidRDefault="00E3439C" w:rsidP="001A7D02">
      <w:pPr>
        <w:spacing w:after="120" w:line="360" w:lineRule="auto"/>
        <w:jc w:val="both"/>
        <w:rPr>
          <w:b/>
          <w:bCs/>
          <w:u w:val="single"/>
          <w:rtl/>
        </w:rPr>
      </w:pPr>
      <w:r w:rsidRPr="00CF1284">
        <w:rPr>
          <w:rFonts w:hint="cs"/>
          <w:b/>
          <w:bCs/>
          <w:u w:val="single"/>
          <w:rtl/>
        </w:rPr>
        <w:t xml:space="preserve">תמ"ש 69973-07-17 &gt; התובענה </w:t>
      </w:r>
      <w:r>
        <w:rPr>
          <w:rFonts w:hint="cs"/>
          <w:b/>
          <w:bCs/>
          <w:u w:val="single"/>
          <w:rtl/>
        </w:rPr>
        <w:t>הרכושית ו</w:t>
      </w:r>
      <w:r w:rsidRPr="00CF1284">
        <w:rPr>
          <w:rFonts w:hint="cs"/>
          <w:b/>
          <w:bCs/>
          <w:u w:val="single"/>
          <w:rtl/>
        </w:rPr>
        <w:t xml:space="preserve">איזון </w:t>
      </w:r>
      <w:r>
        <w:rPr>
          <w:rFonts w:hint="cs"/>
          <w:b/>
          <w:bCs/>
          <w:u w:val="single"/>
          <w:rtl/>
        </w:rPr>
        <w:t>ה</w:t>
      </w:r>
      <w:r w:rsidRPr="00CF1284">
        <w:rPr>
          <w:rFonts w:hint="cs"/>
          <w:b/>
          <w:bCs/>
          <w:u w:val="single"/>
          <w:rtl/>
        </w:rPr>
        <w:t>משאבים</w:t>
      </w:r>
    </w:p>
    <w:p w:rsidR="00E3439C" w:rsidRDefault="00E3439C" w:rsidP="00721720">
      <w:pPr>
        <w:pStyle w:val="ad"/>
        <w:numPr>
          <w:ilvl w:val="0"/>
          <w:numId w:val="1"/>
        </w:numPr>
        <w:spacing w:after="120" w:line="360" w:lineRule="auto"/>
        <w:ind w:left="368"/>
        <w:contextualSpacing w:val="0"/>
      </w:pPr>
      <w:r>
        <w:rPr>
          <w:rFonts w:hint="cs"/>
          <w:rtl/>
        </w:rPr>
        <w:t xml:space="preserve">במסגרת תובענה זו עתר המערער לאיזון זכויות הצדדים, וכן סעדים כספיים בגין הרכיבים הבאים: החזר הלוואה בסך 75,000 ₪ שנתן לטענתו למשיבה </w:t>
      </w:r>
      <w:r w:rsidRPr="001A7D02">
        <w:rPr>
          <w:rFonts w:hint="cs"/>
          <w:b/>
          <w:bCs/>
          <w:rtl/>
        </w:rPr>
        <w:t>ואביה</w:t>
      </w:r>
      <w:r>
        <w:rPr>
          <w:rFonts w:hint="cs"/>
          <w:rtl/>
        </w:rPr>
        <w:t xml:space="preserve"> עבור שיפוץ דירתה; מחצית מרכבי המערער שנרשמו לטענתו ע"ש </w:t>
      </w:r>
      <w:r w:rsidRPr="001A7D02">
        <w:rPr>
          <w:rFonts w:hint="cs"/>
          <w:b/>
          <w:bCs/>
          <w:rtl/>
        </w:rPr>
        <w:t>אביה</w:t>
      </w:r>
      <w:r>
        <w:rPr>
          <w:rFonts w:hint="cs"/>
          <w:rtl/>
        </w:rPr>
        <w:t xml:space="preserve"> של המשיבה; מחצית משווי ציוד שרכש עבור הדירה: כלים סניטריים, קרמיקה, ברזים, מקלחונים; מחצית משווי תכולת הדירה שכללה: ריהוט, כלי עבודה, תכשיטים; וכן כסף מזומן שהיה בבית אותו נטלה לטענתו המשיבה.</w:t>
      </w:r>
    </w:p>
    <w:p w:rsidR="00E3439C" w:rsidRDefault="00E3439C" w:rsidP="00500C08">
      <w:pPr>
        <w:pStyle w:val="ad"/>
        <w:numPr>
          <w:ilvl w:val="0"/>
          <w:numId w:val="1"/>
        </w:numPr>
        <w:spacing w:after="120" w:line="360" w:lineRule="auto"/>
        <w:ind w:left="368"/>
        <w:contextualSpacing w:val="0"/>
      </w:pPr>
      <w:r>
        <w:rPr>
          <w:rFonts w:hint="cs"/>
          <w:rtl/>
        </w:rPr>
        <w:t>בכל הקשור לאיזון זכויות הצדדים - ניתנה חוות דעת מומחה, אשר קבעה כי על המערער לשלם למשיבה לאיזון הזכויות סך חד פעמי של 10,126 ₪. המומחה לא זומן לחקירה וחוות דעתו לא נסתרה ועל כן אימץ בימ</w:t>
      </w:r>
      <w:r>
        <w:rPr>
          <w:rtl/>
        </w:rPr>
        <w:t>"</w:t>
      </w:r>
      <w:r>
        <w:rPr>
          <w:rFonts w:hint="cs"/>
          <w:rtl/>
        </w:rPr>
        <w:t xml:space="preserve">ש קמא את חוות הדעת ונתן לה תוקף </w:t>
      </w:r>
      <w:r>
        <w:rPr>
          <w:rtl/>
        </w:rPr>
        <w:t>–</w:t>
      </w:r>
      <w:r>
        <w:rPr>
          <w:rFonts w:hint="cs"/>
          <w:rtl/>
        </w:rPr>
        <w:t xml:space="preserve"> על רכיב זה לא מערער המערער. </w:t>
      </w:r>
    </w:p>
    <w:p w:rsidR="00E3439C" w:rsidRDefault="00E3439C" w:rsidP="00F63E2F">
      <w:pPr>
        <w:pStyle w:val="ad"/>
        <w:numPr>
          <w:ilvl w:val="0"/>
          <w:numId w:val="1"/>
        </w:numPr>
        <w:spacing w:after="120" w:line="360" w:lineRule="auto"/>
        <w:ind w:left="368"/>
        <w:contextualSpacing w:val="0"/>
        <w:rPr>
          <w:rtl/>
        </w:rPr>
      </w:pPr>
      <w:r>
        <w:rPr>
          <w:rFonts w:hint="cs"/>
          <w:rtl/>
        </w:rPr>
        <w:t xml:space="preserve">לעניין תביעת המערער בכל הקשור להלוואה הנטענת ממנו למשיבה </w:t>
      </w:r>
      <w:r w:rsidRPr="001A7D02">
        <w:rPr>
          <w:rFonts w:hint="cs"/>
          <w:u w:val="single"/>
          <w:rtl/>
        </w:rPr>
        <w:t>ואביה</w:t>
      </w:r>
      <w:r>
        <w:rPr>
          <w:rFonts w:hint="cs"/>
          <w:rtl/>
        </w:rPr>
        <w:t xml:space="preserve"> וכן לרכבים לגביהם נטען שהם נרשמו </w:t>
      </w:r>
      <w:r w:rsidRPr="001A7D02">
        <w:rPr>
          <w:rFonts w:hint="cs"/>
          <w:u w:val="single"/>
          <w:rtl/>
        </w:rPr>
        <w:t>על שם אביה של המשיבה</w:t>
      </w:r>
      <w:r>
        <w:rPr>
          <w:rFonts w:hint="cs"/>
          <w:rtl/>
        </w:rPr>
        <w:t>, קבע בימ</w:t>
      </w:r>
      <w:r>
        <w:rPr>
          <w:rtl/>
        </w:rPr>
        <w:t>"</w:t>
      </w:r>
      <w:r>
        <w:rPr>
          <w:rFonts w:hint="cs"/>
          <w:rtl/>
        </w:rPr>
        <w:t xml:space="preserve">ש קמא כי </w:t>
      </w:r>
      <w:r w:rsidRPr="001A7D02">
        <w:rPr>
          <w:rFonts w:hint="cs"/>
          <w:b/>
          <w:bCs/>
          <w:rtl/>
        </w:rPr>
        <w:t>מאחר והאב לא צורף לתביעה, בימ</w:t>
      </w:r>
      <w:r w:rsidRPr="001A7D02">
        <w:rPr>
          <w:b/>
          <w:bCs/>
          <w:rtl/>
        </w:rPr>
        <w:t>"</w:t>
      </w:r>
      <w:r w:rsidRPr="001A7D02">
        <w:rPr>
          <w:rFonts w:hint="cs"/>
          <w:b/>
          <w:bCs/>
          <w:rtl/>
        </w:rPr>
        <w:t xml:space="preserve">ש איננו יכול לדון בסוגיות אלו ולתת סעד הפוגע בזכויות אביה של המשיבה כאשר הוא לא צורף כבעל דין. </w:t>
      </w:r>
    </w:p>
    <w:p w:rsidR="00E3439C" w:rsidRDefault="00E3439C" w:rsidP="001A7D02">
      <w:pPr>
        <w:pStyle w:val="ad"/>
        <w:spacing w:after="120" w:line="360" w:lineRule="auto"/>
        <w:contextualSpacing w:val="0"/>
        <w:rPr>
          <w:rtl/>
        </w:rPr>
      </w:pPr>
    </w:p>
    <w:p w:rsidR="00E3439C" w:rsidRDefault="00E3439C" w:rsidP="001A7D02">
      <w:pPr>
        <w:pStyle w:val="ad"/>
        <w:numPr>
          <w:ilvl w:val="0"/>
          <w:numId w:val="1"/>
        </w:numPr>
        <w:spacing w:after="120" w:line="360" w:lineRule="auto"/>
        <w:ind w:left="368"/>
        <w:contextualSpacing w:val="0"/>
      </w:pPr>
      <w:r>
        <w:rPr>
          <w:rFonts w:hint="cs"/>
          <w:rtl/>
        </w:rPr>
        <w:lastRenderedPageBreak/>
        <w:t xml:space="preserve">לגבי יתר רכיבי התביעה קבע בימ"ש קמא </w:t>
      </w:r>
      <w:r w:rsidRPr="00150346">
        <w:rPr>
          <w:rFonts w:hint="cs"/>
          <w:u w:val="single"/>
          <w:rtl/>
        </w:rPr>
        <w:t>כי לא עלה בידי המערער להוכיח רכיבים אלו</w:t>
      </w:r>
      <w:r>
        <w:rPr>
          <w:rFonts w:hint="cs"/>
          <w:rtl/>
        </w:rPr>
        <w:t>: לא עלה בידיו להוכיח כי רכש מכספו הפרטי כלים סניטריים, קרמיקה, ברזים, מקלחונים; לא עלה בידו להוכיח את עניין הריהוט ויתר רכיבי התכולה; לא טרח לצרף ולו אסמכתא/קבלה אחת; לא הוכיח כי המשיבה נטלה שלא בהסכמה חלק מהתכולה; לא הוכיח כי המשיבה נטלה כלי זהב ותכשיטים ו/או כסף מזומן; לגבי התכשיטים המערער לא טרח לתת כל פירוט בדבר התכשיטים, לא הציג תמונות, לא הציג קבלות ו/או או אסמכתאות אחרות מהן ניתן היה להיבנות ולו בתור ראשית ראייה; גם לגבי כספי המזומן לא הוכיח המערער את טענותיו, לא הוצג כי בוצעה משיכה של מזומנים או כי הצדדים החזיקו כספת בביתם.</w:t>
      </w:r>
    </w:p>
    <w:p w:rsidR="00E3439C" w:rsidRDefault="00E3439C" w:rsidP="002E63BC">
      <w:pPr>
        <w:pStyle w:val="ad"/>
        <w:spacing w:after="120" w:line="360" w:lineRule="auto"/>
        <w:ind w:left="368"/>
        <w:contextualSpacing w:val="0"/>
      </w:pPr>
      <w:r>
        <w:rPr>
          <w:rFonts w:hint="cs"/>
          <w:rtl/>
        </w:rPr>
        <w:t xml:space="preserve">לאור כל האמור, </w:t>
      </w:r>
      <w:r w:rsidRPr="00150346">
        <w:rPr>
          <w:rFonts w:hint="cs"/>
          <w:u w:val="single"/>
          <w:rtl/>
        </w:rPr>
        <w:t>ומשהגיע בימ"ש למסקנה כי המערער לא הצליח להוכיח את טענותיו</w:t>
      </w:r>
      <w:r>
        <w:rPr>
          <w:rFonts w:hint="cs"/>
          <w:rtl/>
        </w:rPr>
        <w:t>, דחה ממילא את כל רכיבי התביעה הרכושית</w:t>
      </w:r>
      <w:r w:rsidR="002E63BC">
        <w:rPr>
          <w:rFonts w:hint="cs"/>
          <w:rtl/>
        </w:rPr>
        <w:t xml:space="preserve"> </w:t>
      </w:r>
      <w:r>
        <w:rPr>
          <w:rFonts w:hint="cs"/>
          <w:rtl/>
        </w:rPr>
        <w:t xml:space="preserve">(מלבד כאמור עניין איזון הזכויות שבא לידי ביטוי בחוות דעת המומחה לה ניתן תוקף). </w:t>
      </w:r>
    </w:p>
    <w:p w:rsidR="00E3439C" w:rsidRDefault="00E3439C" w:rsidP="001A7D02">
      <w:pPr>
        <w:spacing w:after="120" w:line="360" w:lineRule="auto"/>
        <w:jc w:val="both"/>
        <w:rPr>
          <w:rtl/>
        </w:rPr>
      </w:pPr>
    </w:p>
    <w:p w:rsidR="00E3439C" w:rsidRDefault="00E3439C" w:rsidP="001A7D02">
      <w:pPr>
        <w:spacing w:after="120" w:line="360" w:lineRule="auto"/>
        <w:jc w:val="both"/>
        <w:rPr>
          <w:rtl/>
        </w:rPr>
      </w:pPr>
      <w:r w:rsidRPr="00CF1284">
        <w:rPr>
          <w:rFonts w:hint="cs"/>
          <w:b/>
          <w:bCs/>
          <w:u w:val="single"/>
          <w:rtl/>
        </w:rPr>
        <w:t>ע"ר 57737-02-22 &gt; הערעור בעניין תיק הוצל"פ</w:t>
      </w:r>
      <w:r>
        <w:rPr>
          <w:rFonts w:hint="cs"/>
          <w:b/>
          <w:bCs/>
          <w:u w:val="single"/>
          <w:rtl/>
        </w:rPr>
        <w:t>-</w:t>
      </w:r>
      <w:r w:rsidRPr="00CF1284">
        <w:rPr>
          <w:rFonts w:hint="cs"/>
          <w:b/>
          <w:bCs/>
          <w:u w:val="single"/>
          <w:rtl/>
        </w:rPr>
        <w:t>מזונות</w:t>
      </w:r>
    </w:p>
    <w:p w:rsidR="00E3439C" w:rsidRDefault="00E3439C" w:rsidP="001A7D02">
      <w:pPr>
        <w:pStyle w:val="ad"/>
        <w:numPr>
          <w:ilvl w:val="0"/>
          <w:numId w:val="1"/>
        </w:numPr>
        <w:spacing w:after="120" w:line="360" w:lineRule="auto"/>
        <w:ind w:left="368"/>
        <w:contextualSpacing w:val="0"/>
      </w:pPr>
      <w:r>
        <w:rPr>
          <w:rFonts w:hint="cs"/>
          <w:rtl/>
        </w:rPr>
        <w:t>הערעור בפני בימ</w:t>
      </w:r>
      <w:r>
        <w:rPr>
          <w:rtl/>
        </w:rPr>
        <w:t>"</w:t>
      </w:r>
      <w:r>
        <w:rPr>
          <w:rFonts w:hint="cs"/>
          <w:rtl/>
        </w:rPr>
        <w:t>ש קמא נסוב על החלטות כב' רשמת ההוצאה לפועל במסגרתן דחתה את בקשת המערער לסגור את תיק ההוצל"פ-מזונות בטענה שהינו משלם את תשלומי המזונות השוטפים. כב' רשמת ההוצאה לפועל קבעה, כי הגם שהמערער משלם בפועל את המזונות, אין כל מקום לסגירת תיק ההוצל"פ, בפרט שלמערער אין תעודת זהות ו/רישיון נהיגה ו/או חשבון בנק וככל שתיק ההוצל"פ ייסגר והמערער לא ישלם את תשלומי המזונות, תיתקל המשיבה בקשיים לפתוח תיק הוצל"פ חדש.</w:t>
      </w:r>
    </w:p>
    <w:p w:rsidR="00E3439C" w:rsidRDefault="00E3439C" w:rsidP="001A7D02">
      <w:pPr>
        <w:pStyle w:val="ad"/>
        <w:spacing w:after="120" w:line="360" w:lineRule="auto"/>
        <w:ind w:left="368"/>
        <w:contextualSpacing w:val="0"/>
        <w:rPr>
          <w:rtl/>
        </w:rPr>
      </w:pPr>
      <w:r>
        <w:rPr>
          <w:rFonts w:hint="cs"/>
          <w:rtl/>
        </w:rPr>
        <w:t>המערער השיג על ההחלטה הנ"ל בפני בימ</w:t>
      </w:r>
      <w:r>
        <w:rPr>
          <w:rtl/>
        </w:rPr>
        <w:t>"</w:t>
      </w:r>
      <w:r>
        <w:rPr>
          <w:rFonts w:hint="cs"/>
          <w:rtl/>
        </w:rPr>
        <w:t xml:space="preserve">ש קמא אך זה דחה את ערעורו לאחר שנוכח לדעת שאכן אין למערער תעודת זהות ישראלית ואין באפשרותו לפתוח חשבון בנק ולהקים הוראת קבע, ועל כן יש להותיר את תיק ההוצל"פ פתוח, בפרט כאשר תיק ההוצל"פ נפתח בגין הפרות מצד המערער ואי תשלום המזונות ורק לאחר פתיחת תיק ההוצל"פ החל המערער לשלם את המזונות כסדרם. </w:t>
      </w:r>
    </w:p>
    <w:p w:rsidR="00E3439C" w:rsidRDefault="00E3439C" w:rsidP="001A7D02">
      <w:pPr>
        <w:pStyle w:val="ad"/>
        <w:spacing w:after="120" w:line="360" w:lineRule="auto"/>
        <w:ind w:left="368"/>
        <w:contextualSpacing w:val="0"/>
        <w:rPr>
          <w:rtl/>
        </w:rPr>
      </w:pPr>
      <w:r>
        <w:rPr>
          <w:rFonts w:hint="cs"/>
          <w:rtl/>
        </w:rPr>
        <w:t xml:space="preserve">הערעור בפנינו הינו למעשה </w:t>
      </w:r>
      <w:r w:rsidRPr="005C4C19">
        <w:rPr>
          <w:rFonts w:hint="cs"/>
          <w:b/>
          <w:bCs/>
          <w:rtl/>
        </w:rPr>
        <w:t>גלגול שלישי</w:t>
      </w:r>
      <w:r>
        <w:rPr>
          <w:rFonts w:hint="cs"/>
          <w:rtl/>
        </w:rPr>
        <w:t>, על כל המשמע מכך בדין ובפסיקה (הלכ' חניון חיפה).</w:t>
      </w:r>
    </w:p>
    <w:p w:rsidR="00E3439C" w:rsidRDefault="00E3439C" w:rsidP="001A7D02">
      <w:pPr>
        <w:pStyle w:val="ad"/>
        <w:spacing w:after="120" w:line="360" w:lineRule="auto"/>
        <w:ind w:left="368"/>
        <w:contextualSpacing w:val="0"/>
        <w:rPr>
          <w:rtl/>
        </w:rPr>
      </w:pPr>
    </w:p>
    <w:p w:rsidR="00E3439C" w:rsidRDefault="00E3439C" w:rsidP="001A7D02">
      <w:pPr>
        <w:spacing w:after="120" w:line="360" w:lineRule="auto"/>
        <w:jc w:val="both"/>
        <w:rPr>
          <w:rtl/>
        </w:rPr>
      </w:pPr>
      <w:r w:rsidRPr="00CF1284">
        <w:rPr>
          <w:rFonts w:hint="cs"/>
          <w:b/>
          <w:bCs/>
          <w:u w:val="single"/>
          <w:rtl/>
        </w:rPr>
        <w:t>תמ"ש 69893-07-17 ותמ"ש 12931-08-19 &gt; תובענות הפיצויים בגין לשון הרע והוצאת דיבה</w:t>
      </w:r>
    </w:p>
    <w:p w:rsidR="00E3439C" w:rsidRPr="005C4C19" w:rsidRDefault="00E3439C" w:rsidP="001A7D02">
      <w:pPr>
        <w:pStyle w:val="ad"/>
        <w:numPr>
          <w:ilvl w:val="0"/>
          <w:numId w:val="1"/>
        </w:numPr>
        <w:spacing w:after="120" w:line="360" w:lineRule="auto"/>
        <w:ind w:left="368"/>
        <w:contextualSpacing w:val="0"/>
        <w:rPr>
          <w:b/>
          <w:bCs/>
        </w:rPr>
      </w:pPr>
      <w:r>
        <w:rPr>
          <w:rFonts w:hint="cs"/>
          <w:rtl/>
        </w:rPr>
        <w:t>בימ</w:t>
      </w:r>
      <w:r>
        <w:rPr>
          <w:rtl/>
        </w:rPr>
        <w:t>"</w:t>
      </w:r>
      <w:r>
        <w:rPr>
          <w:rFonts w:hint="cs"/>
          <w:rtl/>
        </w:rPr>
        <w:t xml:space="preserve">ש קמא פסק כי </w:t>
      </w:r>
      <w:r w:rsidRPr="005C4C19">
        <w:rPr>
          <w:rFonts w:hint="cs"/>
          <w:u w:val="single"/>
          <w:rtl/>
        </w:rPr>
        <w:t xml:space="preserve">לא עלה בידי המערערים להוכיח את כל הפרסומים </w:t>
      </w:r>
      <w:r>
        <w:rPr>
          <w:rFonts w:hint="cs"/>
          <w:u w:val="single"/>
          <w:rtl/>
        </w:rPr>
        <w:t>הנטענים ו</w:t>
      </w:r>
      <w:r w:rsidRPr="005C4C19">
        <w:rPr>
          <w:rFonts w:hint="cs"/>
          <w:u w:val="single"/>
          <w:rtl/>
        </w:rPr>
        <w:t>שיוחסו למשיבה</w:t>
      </w:r>
      <w:r>
        <w:rPr>
          <w:rFonts w:hint="cs"/>
          <w:rtl/>
        </w:rPr>
        <w:t>, המערערים מצידם טענו וייחסו למשיבה פרסומים רבים, בימ</w:t>
      </w:r>
      <w:r>
        <w:rPr>
          <w:rtl/>
        </w:rPr>
        <w:t>"</w:t>
      </w:r>
      <w:r>
        <w:rPr>
          <w:rFonts w:hint="cs"/>
          <w:rtl/>
        </w:rPr>
        <w:t xml:space="preserve">ש קמא סקר את כל הפרסומים הנטענים והראה כיצד </w:t>
      </w:r>
      <w:r w:rsidRPr="005C4C19">
        <w:rPr>
          <w:rFonts w:hint="cs"/>
          <w:u w:val="single"/>
          <w:rtl/>
        </w:rPr>
        <w:t>אף אחד מהפרסומים לא הוכח</w:t>
      </w:r>
      <w:r>
        <w:rPr>
          <w:rFonts w:hint="cs"/>
          <w:rtl/>
        </w:rPr>
        <w:t xml:space="preserve">, המערערים כלל לא טרחו להביא עדים, אף לא הגישו תצהירים של אנשים נוספים מלבד המערערים עצמם, כאשר גם את הפרסומים עצמם טענו המערערים כי הם שמעו מצדדי ג' ולפיכך מדובר ב"עדות שמועה", </w:t>
      </w:r>
      <w:r w:rsidRPr="005C4C19">
        <w:rPr>
          <w:rFonts w:hint="cs"/>
          <w:b/>
          <w:bCs/>
          <w:rtl/>
        </w:rPr>
        <w:t xml:space="preserve">ולמעשה המערערים לא הציגו </w:t>
      </w:r>
      <w:r>
        <w:rPr>
          <w:rFonts w:hint="cs"/>
          <w:b/>
          <w:bCs/>
          <w:rtl/>
        </w:rPr>
        <w:t xml:space="preserve">כל </w:t>
      </w:r>
      <w:r w:rsidRPr="005C4C19">
        <w:rPr>
          <w:rFonts w:hint="cs"/>
          <w:b/>
          <w:bCs/>
          <w:rtl/>
        </w:rPr>
        <w:t xml:space="preserve">ראיות ישירות ממשיות אשר תמכו בטענותיהם ללשון הרע. </w:t>
      </w:r>
    </w:p>
    <w:p w:rsidR="00E3439C" w:rsidRDefault="00E3439C" w:rsidP="001A7D02">
      <w:pPr>
        <w:pStyle w:val="ad"/>
        <w:spacing w:after="120" w:line="360" w:lineRule="auto"/>
        <w:ind w:left="368"/>
        <w:contextualSpacing w:val="0"/>
        <w:rPr>
          <w:rtl/>
        </w:rPr>
      </w:pPr>
      <w:r>
        <w:rPr>
          <w:rFonts w:hint="cs"/>
          <w:rtl/>
        </w:rPr>
        <w:lastRenderedPageBreak/>
        <w:t>כך גם לגבי הטענה שהמשיבה ניסתה לפגוע במקום פרנסתה של המערערת על דרך הפצת פרסומים שיקריים במקום עבודתה, קבע בימ</w:t>
      </w:r>
      <w:r>
        <w:rPr>
          <w:rtl/>
        </w:rPr>
        <w:t>"</w:t>
      </w:r>
      <w:r>
        <w:rPr>
          <w:rFonts w:hint="cs"/>
          <w:rtl/>
        </w:rPr>
        <w:t xml:space="preserve">ש קמא כי </w:t>
      </w:r>
      <w:r w:rsidRPr="005C4C19">
        <w:rPr>
          <w:rFonts w:hint="cs"/>
          <w:u w:val="single"/>
          <w:rtl/>
        </w:rPr>
        <w:t>הטענות לא הוכחו</w:t>
      </w:r>
      <w:r>
        <w:rPr>
          <w:rFonts w:hint="cs"/>
          <w:rtl/>
        </w:rPr>
        <w:t>, לא הובאה כל עדות מטעם מקום העבודה ו/או מעסיקיה של המערערת, וכך לגבי כל פרסום ופרסום שנטען על ידי המערערים, הראה בימ</w:t>
      </w:r>
      <w:r>
        <w:rPr>
          <w:rtl/>
        </w:rPr>
        <w:t>"</w:t>
      </w:r>
      <w:r>
        <w:rPr>
          <w:rFonts w:hint="cs"/>
          <w:rtl/>
        </w:rPr>
        <w:t xml:space="preserve">ש קמא כי </w:t>
      </w:r>
      <w:r w:rsidRPr="00BE7979">
        <w:rPr>
          <w:rFonts w:hint="cs"/>
          <w:b/>
          <w:bCs/>
          <w:rtl/>
        </w:rPr>
        <w:t>דבר לא הוכח, אף לא בראשית ראייה</w:t>
      </w:r>
      <w:r>
        <w:rPr>
          <w:rFonts w:hint="cs"/>
          <w:rtl/>
        </w:rPr>
        <w:t xml:space="preserve">. </w:t>
      </w:r>
    </w:p>
    <w:p w:rsidR="00E3439C" w:rsidRDefault="00E3439C" w:rsidP="001A7D02">
      <w:pPr>
        <w:pStyle w:val="ad"/>
        <w:spacing w:after="120" w:line="360" w:lineRule="auto"/>
        <w:ind w:left="368"/>
        <w:contextualSpacing w:val="0"/>
        <w:rPr>
          <w:rtl/>
        </w:rPr>
      </w:pPr>
      <w:r>
        <w:rPr>
          <w:rFonts w:hint="cs"/>
          <w:rtl/>
        </w:rPr>
        <w:t>עוד קבע בימ</w:t>
      </w:r>
      <w:r>
        <w:rPr>
          <w:rtl/>
        </w:rPr>
        <w:t>"</w:t>
      </w:r>
      <w:r>
        <w:rPr>
          <w:rFonts w:hint="cs"/>
          <w:rtl/>
        </w:rPr>
        <w:t xml:space="preserve">ש קמא, כי גם הנספחים שצורפו לתצהירי המערערים, אין בהם כדי ללמד דבר, צורפו מספר צילומים מושחרים של חילופי הודעות לא ברורות מהן לא ניתן להבין דבר, חלקן אף מחוקות, לא ניתן להבין את ההקשר אשר קדם לשליחת ההודעות הספורדיות ולא ניתן לקבוע האם חילופי הדברים הקשים אפיינו את שני הצדדים לשיחה או שהיו מנת חלקו של צד אחד בלבד. </w:t>
      </w:r>
    </w:p>
    <w:p w:rsidR="00E3439C" w:rsidRDefault="00E3439C" w:rsidP="001A7D02">
      <w:pPr>
        <w:pStyle w:val="ad"/>
        <w:spacing w:after="120" w:line="360" w:lineRule="auto"/>
        <w:ind w:left="368"/>
        <w:contextualSpacing w:val="0"/>
      </w:pPr>
      <w:r>
        <w:rPr>
          <w:rFonts w:hint="cs"/>
          <w:rtl/>
        </w:rPr>
        <w:t xml:space="preserve">אעיר, כי ייתכן שבאמצעות חקירת המשיבה ניתן היה להוכיח פרסום כזה או אחר, </w:t>
      </w:r>
      <w:r w:rsidRPr="005C4C19">
        <w:rPr>
          <w:rFonts w:hint="cs"/>
          <w:b/>
          <w:bCs/>
          <w:rtl/>
        </w:rPr>
        <w:t xml:space="preserve">ברם כאמור המערערים </w:t>
      </w:r>
      <w:r>
        <w:rPr>
          <w:rFonts w:hint="cs"/>
          <w:b/>
          <w:bCs/>
          <w:rtl/>
        </w:rPr>
        <w:t xml:space="preserve">מצידם </w:t>
      </w:r>
      <w:r w:rsidRPr="005C4C19">
        <w:rPr>
          <w:rFonts w:hint="cs"/>
          <w:b/>
          <w:bCs/>
          <w:rtl/>
        </w:rPr>
        <w:t>וויתרו על חקירת המשיבה ועל הליך הבאת ראיות.</w:t>
      </w:r>
    </w:p>
    <w:p w:rsidR="00E3439C" w:rsidRDefault="00E3439C" w:rsidP="001A7D02">
      <w:pPr>
        <w:pStyle w:val="ad"/>
        <w:numPr>
          <w:ilvl w:val="0"/>
          <w:numId w:val="1"/>
        </w:numPr>
        <w:spacing w:after="120" w:line="360" w:lineRule="auto"/>
        <w:ind w:left="368"/>
        <w:contextualSpacing w:val="0"/>
      </w:pPr>
      <w:r>
        <w:rPr>
          <w:rFonts w:hint="cs"/>
          <w:rtl/>
        </w:rPr>
        <w:t xml:space="preserve">ה"ראייה" היחידה המצויה בתיק שעשויה הייתה לתעד "לשון הרע" מצד המשיבה, הינה בדמות </w:t>
      </w:r>
      <w:r w:rsidRPr="003B0D8B">
        <w:rPr>
          <w:rFonts w:hint="cs"/>
          <w:u w:val="single"/>
          <w:rtl/>
        </w:rPr>
        <w:t>תמליל</w:t>
      </w:r>
      <w:r>
        <w:rPr>
          <w:rFonts w:hint="cs"/>
          <w:rtl/>
        </w:rPr>
        <w:t xml:space="preserve"> בן עמוד אחד, שצורף כמות שהוא לתצהירי המערערים כחלק ממקבץ נספחים שסומנו א'-ו' (התמליל עצמו סומן כנספח ה' </w:t>
      </w:r>
      <w:r>
        <w:rPr>
          <w:rtl/>
        </w:rPr>
        <w:t>–</w:t>
      </w:r>
      <w:r>
        <w:rPr>
          <w:rFonts w:hint="cs"/>
          <w:rtl/>
        </w:rPr>
        <w:t xml:space="preserve"> להלן: </w:t>
      </w:r>
      <w:r w:rsidRPr="003B0D8B">
        <w:rPr>
          <w:rFonts w:hint="cs"/>
          <w:u w:val="single"/>
          <w:rtl/>
        </w:rPr>
        <w:t>"התמליל"</w:t>
      </w:r>
      <w:r>
        <w:rPr>
          <w:rFonts w:hint="cs"/>
          <w:rtl/>
        </w:rPr>
        <w:t xml:space="preserve">), המתעד לכאורה שיחה טלפונית בין המערער למשיבה ובו מתועדים מספר פעמים כינוי גנאי "זונה" שנאמרו כביכול ע"י המשיבה ביחס לדמות כלשהיא, </w:t>
      </w:r>
      <w:r w:rsidRPr="003B0D8B">
        <w:rPr>
          <w:rFonts w:hint="cs"/>
          <w:u w:val="single"/>
          <w:rtl/>
        </w:rPr>
        <w:t>כאשר טענת ב"כ המערערים בדיון בפנינו הייתה</w:t>
      </w:r>
      <w:r>
        <w:rPr>
          <w:rFonts w:hint="cs"/>
          <w:rtl/>
        </w:rPr>
        <w:t>, שהכינוי כוון כנגד המערערת, אם כי בתמליל עצמו המערערת איננה מוזכרת במפורש.</w:t>
      </w:r>
    </w:p>
    <w:p w:rsidR="00E3439C" w:rsidRDefault="00E3439C" w:rsidP="001A7D02">
      <w:pPr>
        <w:pStyle w:val="ad"/>
        <w:spacing w:after="120" w:line="360" w:lineRule="auto"/>
        <w:ind w:left="368"/>
        <w:contextualSpacing w:val="0"/>
        <w:rPr>
          <w:rtl/>
        </w:rPr>
      </w:pPr>
      <w:r>
        <w:rPr>
          <w:rFonts w:hint="cs"/>
          <w:rtl/>
        </w:rPr>
        <w:t xml:space="preserve">ויודגש: </w:t>
      </w:r>
      <w:r w:rsidRPr="00CF1284">
        <w:rPr>
          <w:rFonts w:hint="cs"/>
          <w:b/>
          <w:bCs/>
          <w:rtl/>
        </w:rPr>
        <w:t>הת</w:t>
      </w:r>
      <w:r>
        <w:rPr>
          <w:rFonts w:hint="cs"/>
          <w:b/>
          <w:bCs/>
          <w:rtl/>
        </w:rPr>
        <w:t>מליל</w:t>
      </w:r>
      <w:r w:rsidRPr="00CF1284">
        <w:rPr>
          <w:rFonts w:hint="cs"/>
          <w:b/>
          <w:bCs/>
          <w:rtl/>
        </w:rPr>
        <w:t xml:space="preserve"> </w:t>
      </w:r>
      <w:r>
        <w:rPr>
          <w:rFonts w:hint="cs"/>
          <w:b/>
          <w:bCs/>
          <w:rtl/>
        </w:rPr>
        <w:t xml:space="preserve">לא צורף, ואף לא נזכר בכתבי התביעה, אף לא ברמז! הפעם הראשונה שהתמליל הונח בתיק ביהמ"ש היה באמצעות צירופו </w:t>
      </w:r>
      <w:r w:rsidRPr="003B0D8B">
        <w:rPr>
          <w:rFonts w:hint="cs"/>
          <w:b/>
          <w:bCs/>
          <w:u w:val="single"/>
          <w:rtl/>
        </w:rPr>
        <w:t>לתצהירים הראשיים</w:t>
      </w:r>
      <w:r>
        <w:rPr>
          <w:rFonts w:hint="cs"/>
          <w:b/>
          <w:bCs/>
          <w:rtl/>
        </w:rPr>
        <w:t xml:space="preserve"> </w:t>
      </w:r>
      <w:r w:rsidRPr="00CF1284">
        <w:rPr>
          <w:rFonts w:hint="cs"/>
          <w:b/>
          <w:bCs/>
          <w:rtl/>
        </w:rPr>
        <w:t xml:space="preserve">כמות שהוא, </w:t>
      </w:r>
      <w:r>
        <w:rPr>
          <w:rFonts w:hint="cs"/>
          <w:b/>
          <w:bCs/>
          <w:rtl/>
        </w:rPr>
        <w:t xml:space="preserve">וגם כאן ללא שהייתה כל </w:t>
      </w:r>
      <w:r w:rsidRPr="00CF1284">
        <w:rPr>
          <w:rFonts w:hint="cs"/>
          <w:b/>
          <w:bCs/>
          <w:rtl/>
        </w:rPr>
        <w:t>התייחסות</w:t>
      </w:r>
      <w:r>
        <w:rPr>
          <w:rFonts w:hint="cs"/>
          <w:b/>
          <w:bCs/>
          <w:rtl/>
        </w:rPr>
        <w:t xml:space="preserve"> לתמליל</w:t>
      </w:r>
      <w:r w:rsidRPr="00CF1284">
        <w:rPr>
          <w:rFonts w:hint="cs"/>
          <w:b/>
          <w:bCs/>
          <w:rtl/>
        </w:rPr>
        <w:t xml:space="preserve"> בתצהירים עצמם</w:t>
      </w:r>
      <w:r>
        <w:rPr>
          <w:rFonts w:hint="cs"/>
          <w:rtl/>
        </w:rPr>
        <w:t xml:space="preserve">! אין אף לא מילה אחת בתצהירים המתייחסת לתמליל, לתוכנו, לא נטען ולא פורט באשר לנסיבות השיחה, לא הוסבר מדוע מוכח מהשיחה כי כינוי הגנאי מכוון למערערת למרות ששמה לא מוזכר בשיחה </w:t>
      </w:r>
      <w:r>
        <w:rPr>
          <w:rtl/>
        </w:rPr>
        <w:t>–</w:t>
      </w:r>
      <w:r>
        <w:rPr>
          <w:rFonts w:hint="cs"/>
          <w:rtl/>
        </w:rPr>
        <w:t xml:space="preserve"> </w:t>
      </w:r>
      <w:r w:rsidRPr="00CF1284">
        <w:rPr>
          <w:rFonts w:hint="cs"/>
          <w:u w:val="single"/>
          <w:rtl/>
        </w:rPr>
        <w:t>שום כלום</w:t>
      </w:r>
      <w:r>
        <w:rPr>
          <w:rFonts w:hint="cs"/>
          <w:rtl/>
        </w:rPr>
        <w:t xml:space="preserve">! </w:t>
      </w:r>
      <w:r w:rsidRPr="005C4C19">
        <w:rPr>
          <w:rFonts w:hint="cs"/>
          <w:b/>
          <w:bCs/>
          <w:rtl/>
        </w:rPr>
        <w:t xml:space="preserve">התמליל צורף </w:t>
      </w:r>
      <w:r>
        <w:rPr>
          <w:rFonts w:hint="cs"/>
          <w:b/>
          <w:bCs/>
          <w:rtl/>
        </w:rPr>
        <w:t xml:space="preserve">לתצהירים </w:t>
      </w:r>
      <w:r w:rsidRPr="005C4C19">
        <w:rPr>
          <w:rFonts w:hint="cs"/>
          <w:b/>
          <w:bCs/>
          <w:rtl/>
        </w:rPr>
        <w:t>כמות שהוא, ללא כל התייחסות</w:t>
      </w:r>
      <w:r>
        <w:rPr>
          <w:rFonts w:hint="cs"/>
          <w:b/>
          <w:bCs/>
          <w:rtl/>
        </w:rPr>
        <w:t xml:space="preserve">, כאמור כחלק </w:t>
      </w:r>
      <w:r w:rsidRPr="003B0D8B">
        <w:rPr>
          <w:rFonts w:hint="cs"/>
          <w:b/>
          <w:bCs/>
          <w:u w:val="single"/>
          <w:rtl/>
        </w:rPr>
        <w:t>ממקבץ</w:t>
      </w:r>
      <w:r>
        <w:rPr>
          <w:rFonts w:hint="cs"/>
          <w:b/>
          <w:bCs/>
          <w:rtl/>
        </w:rPr>
        <w:t xml:space="preserve"> נספחים וההפניה היחידה בתצהירים נוסחה </w:t>
      </w:r>
      <w:r w:rsidRPr="003B0D8B">
        <w:rPr>
          <w:rFonts w:hint="cs"/>
          <w:b/>
          <w:bCs/>
          <w:u w:val="single"/>
          <w:rtl/>
        </w:rPr>
        <w:t>באופן כוללני</w:t>
      </w:r>
      <w:r>
        <w:rPr>
          <w:rFonts w:hint="cs"/>
          <w:b/>
          <w:bCs/>
          <w:rtl/>
        </w:rPr>
        <w:t xml:space="preserve">: </w:t>
      </w:r>
      <w:r>
        <w:rPr>
          <w:rFonts w:ascii="Aharoni" w:hAnsi="Aharoni" w:cs="Aharoni" w:hint="cs"/>
          <w:b/>
          <w:bCs/>
          <w:rtl/>
        </w:rPr>
        <w:t>"רצו"ב נספחים א' עד ו' המהווים חלק בלתי נפרד מתצהיר זה"</w:t>
      </w:r>
      <w:r>
        <w:rPr>
          <w:rFonts w:hint="cs"/>
          <w:rtl/>
        </w:rPr>
        <w:t>.</w:t>
      </w:r>
    </w:p>
    <w:p w:rsidR="00E3439C" w:rsidRDefault="00E3439C" w:rsidP="001A7D02">
      <w:pPr>
        <w:pStyle w:val="ad"/>
        <w:spacing w:after="120" w:line="360" w:lineRule="auto"/>
        <w:ind w:left="368"/>
        <w:contextualSpacing w:val="0"/>
        <w:rPr>
          <w:rtl/>
        </w:rPr>
      </w:pPr>
      <w:r>
        <w:rPr>
          <w:rFonts w:hint="cs"/>
          <w:rtl/>
        </w:rPr>
        <w:t>זאת ועוד: אין כל עדות בתיק כי קלטת השיחה עצמה (אודיו) צורף בשלב כלשהוא לתיק ביהמ"ש על מנת להוכיח את תוכנו של התמליל וכי אכן מדובר בקולה של המשיבה.</w:t>
      </w:r>
    </w:p>
    <w:p w:rsidR="00E3439C" w:rsidRPr="003A7FF9" w:rsidRDefault="00E3439C" w:rsidP="001A7D02">
      <w:pPr>
        <w:pStyle w:val="ad"/>
        <w:spacing w:after="120" w:line="360" w:lineRule="auto"/>
        <w:ind w:left="368"/>
        <w:contextualSpacing w:val="0"/>
        <w:rPr>
          <w:sz w:val="20"/>
          <w:szCs w:val="20"/>
          <w:rtl/>
        </w:rPr>
      </w:pPr>
      <w:r>
        <w:rPr>
          <w:rFonts w:hint="cs"/>
          <w:rtl/>
        </w:rPr>
        <w:t xml:space="preserve">יתירה מזו: לא רק שבתצהיריהם לא התייחסו המערערים לתמליל, אלא אף </w:t>
      </w:r>
      <w:r w:rsidRPr="005C4C19">
        <w:rPr>
          <w:rFonts w:hint="cs"/>
          <w:u w:val="single"/>
          <w:rtl/>
        </w:rPr>
        <w:t>בסיכומיהם</w:t>
      </w:r>
      <w:r>
        <w:rPr>
          <w:rFonts w:hint="cs"/>
          <w:rtl/>
        </w:rPr>
        <w:t xml:space="preserve"> אין כל התייחסות לתמליל, לתוכנו, נסיבותיו וכו'! </w:t>
      </w:r>
      <w:r>
        <w:rPr>
          <w:rFonts w:hint="cs"/>
          <w:b/>
          <w:bCs/>
          <w:rtl/>
        </w:rPr>
        <w:t xml:space="preserve">אגב, </w:t>
      </w:r>
      <w:r w:rsidRPr="00CF1284">
        <w:rPr>
          <w:rFonts w:hint="cs"/>
          <w:b/>
          <w:bCs/>
          <w:rtl/>
        </w:rPr>
        <w:t>גם לא בכתב הערעור</w:t>
      </w:r>
      <w:r>
        <w:rPr>
          <w:rFonts w:hint="cs"/>
          <w:rtl/>
        </w:rPr>
        <w:t xml:space="preserve">! הפעם הראשונה שבה המערערים מתייחסים לתמליל ולכינוי הגנאי המופיע בו, היה </w:t>
      </w:r>
      <w:r w:rsidRPr="00CF1284">
        <w:rPr>
          <w:rFonts w:hint="cs"/>
          <w:u w:val="single"/>
          <w:rtl/>
        </w:rPr>
        <w:t>בדיון לפנינו</w:t>
      </w:r>
      <w:r>
        <w:rPr>
          <w:rFonts w:hint="cs"/>
          <w:rtl/>
        </w:rPr>
        <w:t xml:space="preserve"> שבו הפנה ב"כ המערערים לנספח התמליל וטען </w:t>
      </w:r>
      <w:r w:rsidRPr="005C4C19">
        <w:rPr>
          <w:rFonts w:hint="cs"/>
          <w:u w:val="single"/>
          <w:rtl/>
        </w:rPr>
        <w:t>לראשונה</w:t>
      </w:r>
      <w:r>
        <w:rPr>
          <w:rFonts w:hint="cs"/>
          <w:rtl/>
        </w:rPr>
        <w:t xml:space="preserve"> שכינוי הגנאי המופיע שם נאמר מפי המשיבה </w:t>
      </w:r>
      <w:r w:rsidRPr="005C4C19">
        <w:rPr>
          <w:rFonts w:hint="cs"/>
          <w:b/>
          <w:bCs/>
          <w:rtl/>
        </w:rPr>
        <w:t xml:space="preserve">כלפי </w:t>
      </w:r>
      <w:r>
        <w:rPr>
          <w:rFonts w:hint="cs"/>
          <w:b/>
          <w:bCs/>
          <w:rtl/>
        </w:rPr>
        <w:t>ה</w:t>
      </w:r>
      <w:r w:rsidRPr="005C4C19">
        <w:rPr>
          <w:rFonts w:hint="cs"/>
          <w:b/>
          <w:bCs/>
          <w:rtl/>
        </w:rPr>
        <w:t xml:space="preserve">מערערת </w:t>
      </w:r>
      <w:r>
        <w:rPr>
          <w:rFonts w:hint="cs"/>
          <w:rtl/>
        </w:rPr>
        <w:t>(עמ' 1 לפרו' ש' 16-18). אין בכתב הערעור עצמו כל התייחסות לתמליל! [</w:t>
      </w:r>
      <w:r>
        <w:rPr>
          <w:rFonts w:hint="cs"/>
          <w:sz w:val="20"/>
          <w:szCs w:val="20"/>
          <w:rtl/>
        </w:rPr>
        <w:t xml:space="preserve">על מנת למנוע בלבול </w:t>
      </w:r>
      <w:r>
        <w:rPr>
          <w:sz w:val="20"/>
          <w:szCs w:val="20"/>
          <w:rtl/>
        </w:rPr>
        <w:t>–</w:t>
      </w:r>
      <w:r>
        <w:rPr>
          <w:rFonts w:hint="cs"/>
          <w:sz w:val="20"/>
          <w:szCs w:val="20"/>
          <w:rtl/>
        </w:rPr>
        <w:t xml:space="preserve"> קיימת התייחסות בסעיף 19 לערעור וכן בכתבי הטענות לתמליל, אך מדובר בתמליל </w:t>
      </w:r>
      <w:r w:rsidRPr="003B0D8B">
        <w:rPr>
          <w:rFonts w:hint="cs"/>
          <w:sz w:val="20"/>
          <w:szCs w:val="20"/>
          <w:u w:val="single"/>
          <w:rtl/>
        </w:rPr>
        <w:t>אחר</w:t>
      </w:r>
      <w:r>
        <w:rPr>
          <w:rFonts w:hint="cs"/>
          <w:sz w:val="20"/>
          <w:szCs w:val="20"/>
          <w:rtl/>
        </w:rPr>
        <w:t xml:space="preserve"> (מוצג יט לכתב הערעור), לגביו טענו המערערים שהינו מצביע על אי-אמינות מצד המשיבה ביחס למצבה המשפחתי. אין המדובר ב"תמליל הדיבה".]</w:t>
      </w:r>
    </w:p>
    <w:p w:rsidR="00E3439C" w:rsidRDefault="00E3439C" w:rsidP="001A7D02">
      <w:pPr>
        <w:pStyle w:val="ad"/>
        <w:spacing w:after="120" w:line="360" w:lineRule="auto"/>
        <w:ind w:left="368"/>
        <w:contextualSpacing w:val="0"/>
        <w:rPr>
          <w:rtl/>
        </w:rPr>
      </w:pPr>
      <w:r>
        <w:rPr>
          <w:rFonts w:hint="cs"/>
          <w:rtl/>
        </w:rPr>
        <w:t xml:space="preserve">למותר לציין כי המשיבה בדיון לפנינו </w:t>
      </w:r>
      <w:r w:rsidRPr="005C4C19">
        <w:rPr>
          <w:rFonts w:hint="cs"/>
          <w:u w:val="single"/>
          <w:rtl/>
        </w:rPr>
        <w:t>הכחישה</w:t>
      </w:r>
      <w:r>
        <w:rPr>
          <w:rFonts w:hint="cs"/>
          <w:rtl/>
        </w:rPr>
        <w:t xml:space="preserve"> את התקיימות שיחת התמליל ו/או את היותה צד לתמליל. </w:t>
      </w:r>
    </w:p>
    <w:p w:rsidR="00E3439C" w:rsidRPr="005C4C19" w:rsidRDefault="00E3439C" w:rsidP="001A7D02">
      <w:pPr>
        <w:pStyle w:val="ad"/>
        <w:spacing w:after="120" w:line="360" w:lineRule="auto"/>
        <w:ind w:left="368"/>
        <w:contextualSpacing w:val="0"/>
        <w:rPr>
          <w:b/>
          <w:bCs/>
          <w:rtl/>
        </w:rPr>
      </w:pPr>
      <w:r>
        <w:rPr>
          <w:rFonts w:hint="cs"/>
          <w:rtl/>
        </w:rPr>
        <w:lastRenderedPageBreak/>
        <w:t xml:space="preserve">גם כאן ייתכן ובאמצעות חקירת המשיבה ניתן היה להוכיח את התמליל ושכינוי הגנאי נאמר שם מפי המשיבה ושכוון למערערת, </w:t>
      </w:r>
      <w:r w:rsidRPr="005C4C19">
        <w:rPr>
          <w:rFonts w:hint="cs"/>
          <w:b/>
          <w:bCs/>
          <w:rtl/>
        </w:rPr>
        <w:t>ברם כאמור המערערים וויתרו על חקירת המשיבה ועל הליך הבאת ראיות.</w:t>
      </w:r>
    </w:p>
    <w:p w:rsidR="00E3439C" w:rsidRDefault="00E3439C" w:rsidP="001A7D02">
      <w:pPr>
        <w:pStyle w:val="ad"/>
        <w:spacing w:after="120" w:line="360" w:lineRule="auto"/>
        <w:ind w:left="368"/>
        <w:contextualSpacing w:val="0"/>
        <w:rPr>
          <w:rtl/>
        </w:rPr>
      </w:pPr>
      <w:r>
        <w:rPr>
          <w:rFonts w:hint="cs"/>
          <w:rtl/>
        </w:rPr>
        <w:t>לא פלא אפוא, שבימ</w:t>
      </w:r>
      <w:r>
        <w:rPr>
          <w:rtl/>
        </w:rPr>
        <w:t>"</w:t>
      </w:r>
      <w:r>
        <w:rPr>
          <w:rFonts w:hint="cs"/>
          <w:rtl/>
        </w:rPr>
        <w:t>ש קמא בפסק דינו דחה את "ראיית" התמליל, בנמקו כדלהלן:</w:t>
      </w:r>
    </w:p>
    <w:p w:rsidR="00887BB6" w:rsidRPr="00887BB6" w:rsidRDefault="00887BB6" w:rsidP="002E63BC">
      <w:pPr>
        <w:pStyle w:val="ad"/>
        <w:spacing w:after="120" w:line="360" w:lineRule="auto"/>
        <w:ind w:left="1134" w:right="851"/>
        <w:rPr>
          <w:b/>
          <w:bCs/>
          <w:rtl/>
        </w:rPr>
      </w:pPr>
      <w:r>
        <w:rPr>
          <w:rFonts w:hint="cs"/>
          <w:rtl/>
        </w:rPr>
        <w:t>"</w:t>
      </w:r>
      <w:r>
        <w:rPr>
          <w:b/>
          <w:bCs/>
          <w:rtl/>
        </w:rPr>
        <w:t>68.</w:t>
      </w:r>
      <w:r>
        <w:rPr>
          <w:rFonts w:hint="cs"/>
          <w:b/>
          <w:bCs/>
          <w:rtl/>
        </w:rPr>
        <w:t xml:space="preserve"> </w:t>
      </w:r>
      <w:r w:rsidRPr="00887BB6">
        <w:rPr>
          <w:b/>
          <w:bCs/>
          <w:rtl/>
        </w:rPr>
        <w:t xml:space="preserve">כמו כן, צורף תמלול חלקי וחסר עד מאוד, של שיחה אשר נוהלה לכאורה בין </w:t>
      </w:r>
      <w:r w:rsidR="002E63BC">
        <w:rPr>
          <w:rFonts w:hint="cs"/>
          <w:b/>
          <w:bCs/>
          <w:rtl/>
        </w:rPr>
        <w:t>א'</w:t>
      </w:r>
      <w:r w:rsidRPr="00887BB6">
        <w:rPr>
          <w:b/>
          <w:bCs/>
          <w:rtl/>
        </w:rPr>
        <w:t xml:space="preserve"> לבין </w:t>
      </w:r>
      <w:r w:rsidR="002E63BC">
        <w:rPr>
          <w:rFonts w:hint="cs"/>
          <w:b/>
          <w:bCs/>
          <w:rtl/>
        </w:rPr>
        <w:t>י'</w:t>
      </w:r>
      <w:r w:rsidRPr="00887BB6">
        <w:rPr>
          <w:b/>
          <w:bCs/>
          <w:rtl/>
        </w:rPr>
        <w:t xml:space="preserve">. בכותר התמלול החלקי נכתב כאילו התנהלה שיחה בין </w:t>
      </w:r>
      <w:r w:rsidR="002E63BC">
        <w:rPr>
          <w:rFonts w:hint="cs"/>
          <w:b/>
          <w:bCs/>
          <w:rtl/>
        </w:rPr>
        <w:t>א'</w:t>
      </w:r>
      <w:r w:rsidRPr="00887BB6">
        <w:rPr>
          <w:b/>
          <w:bCs/>
          <w:rtl/>
        </w:rPr>
        <w:t xml:space="preserve"> לבין </w:t>
      </w:r>
      <w:r w:rsidR="002E63BC">
        <w:rPr>
          <w:rFonts w:hint="cs"/>
          <w:b/>
          <w:bCs/>
          <w:rtl/>
        </w:rPr>
        <w:t>י'</w:t>
      </w:r>
      <w:r w:rsidRPr="00887BB6">
        <w:rPr>
          <w:b/>
          <w:bCs/>
          <w:rtl/>
        </w:rPr>
        <w:t xml:space="preserve">. עם זאת  אותה "השיחה" כוללת רק מעין מונולוג של </w:t>
      </w:r>
      <w:r w:rsidR="002E63BC">
        <w:rPr>
          <w:rFonts w:hint="cs"/>
          <w:b/>
          <w:bCs/>
          <w:rtl/>
        </w:rPr>
        <w:t>א'</w:t>
      </w:r>
      <w:r w:rsidRPr="00887BB6">
        <w:rPr>
          <w:b/>
          <w:bCs/>
          <w:rtl/>
        </w:rPr>
        <w:t xml:space="preserve">, שבסיומו מתבצעת שיחה למשטרה ונשמעת הודעה מוקלטת: "לחזרה יש להקיש 1, למחיקה ולמעבר להודעה הבאה נא להקיש 2". הווה אומר, אין המדובר בשיחה - חילופי דברים אשר נוהלו בין </w:t>
      </w:r>
      <w:r w:rsidR="002E63BC">
        <w:rPr>
          <w:rFonts w:hint="cs"/>
          <w:b/>
          <w:bCs/>
          <w:rtl/>
        </w:rPr>
        <w:t>י'</w:t>
      </w:r>
      <w:r w:rsidRPr="00887BB6">
        <w:rPr>
          <w:b/>
          <w:bCs/>
          <w:rtl/>
        </w:rPr>
        <w:t xml:space="preserve"> לבין </w:t>
      </w:r>
      <w:r w:rsidR="002E63BC">
        <w:rPr>
          <w:rFonts w:hint="cs"/>
          <w:b/>
          <w:bCs/>
          <w:rtl/>
        </w:rPr>
        <w:t>א'</w:t>
      </w:r>
      <w:r w:rsidRPr="00887BB6">
        <w:rPr>
          <w:b/>
          <w:bCs/>
          <w:rtl/>
        </w:rPr>
        <w:t xml:space="preserve">, אלא בקטע חלקי מתוך תמלול רחב יותר כשההקשר הכולל לא הוצג ולא הובהר. </w:t>
      </w:r>
    </w:p>
    <w:p w:rsidR="00887BB6" w:rsidRPr="00887BB6" w:rsidRDefault="00887BB6" w:rsidP="00887BB6">
      <w:pPr>
        <w:pStyle w:val="ad"/>
        <w:spacing w:after="120" w:line="360" w:lineRule="auto"/>
        <w:ind w:left="1134" w:right="851"/>
        <w:rPr>
          <w:b/>
          <w:bCs/>
          <w:rtl/>
        </w:rPr>
      </w:pPr>
    </w:p>
    <w:p w:rsidR="00E3439C" w:rsidRPr="00887BB6" w:rsidRDefault="00887BB6" w:rsidP="002E63BC">
      <w:pPr>
        <w:pStyle w:val="ad"/>
        <w:spacing w:after="120" w:line="360" w:lineRule="auto"/>
        <w:ind w:left="1134" w:right="851"/>
        <w:contextualSpacing w:val="0"/>
        <w:rPr>
          <w:rtl/>
        </w:rPr>
      </w:pPr>
      <w:r w:rsidRPr="00887BB6">
        <w:rPr>
          <w:b/>
          <w:bCs/>
          <w:rtl/>
        </w:rPr>
        <w:t>69.</w:t>
      </w:r>
      <w:r w:rsidRPr="00887BB6">
        <w:rPr>
          <w:b/>
          <w:bCs/>
          <w:rtl/>
        </w:rPr>
        <w:tab/>
        <w:t xml:space="preserve">למעלה מן האמור, ואף לגופו של עניין, השיחה אשר התנהלה בין </w:t>
      </w:r>
      <w:r w:rsidR="002E63BC">
        <w:rPr>
          <w:rFonts w:hint="cs"/>
          <w:b/>
          <w:bCs/>
          <w:rtl/>
        </w:rPr>
        <w:t>א'</w:t>
      </w:r>
      <w:r w:rsidRPr="00887BB6">
        <w:rPr>
          <w:b/>
          <w:bCs/>
          <w:rtl/>
        </w:rPr>
        <w:t xml:space="preserve"> לבין </w:t>
      </w:r>
      <w:r w:rsidR="002E63BC">
        <w:rPr>
          <w:rFonts w:hint="cs"/>
          <w:b/>
          <w:bCs/>
          <w:rtl/>
        </w:rPr>
        <w:t>י'</w:t>
      </w:r>
      <w:r w:rsidRPr="00887BB6">
        <w:rPr>
          <w:b/>
          <w:bCs/>
          <w:rtl/>
        </w:rPr>
        <w:t xml:space="preserve">  אינה מהווה לשון הרע, כאשר לא ברור מי מהגורם המכונה ב"מ</w:t>
      </w:r>
      <w:r w:rsidR="002E63BC">
        <w:rPr>
          <w:b/>
          <w:bCs/>
          <w:rtl/>
        </w:rPr>
        <w:t>ילת גנאי" בשיחה – האם מדובר בת</w:t>
      </w:r>
      <w:r w:rsidR="002E63BC">
        <w:rPr>
          <w:rFonts w:hint="cs"/>
          <w:b/>
          <w:bCs/>
          <w:rtl/>
        </w:rPr>
        <w:t>'</w:t>
      </w:r>
      <w:r w:rsidRPr="00887BB6">
        <w:rPr>
          <w:b/>
          <w:bCs/>
          <w:rtl/>
        </w:rPr>
        <w:t xml:space="preserve"> או בבת זוג אחרת של </w:t>
      </w:r>
      <w:r w:rsidR="002E63BC">
        <w:rPr>
          <w:rFonts w:hint="cs"/>
          <w:b/>
          <w:bCs/>
          <w:rtl/>
        </w:rPr>
        <w:t>י'</w:t>
      </w:r>
      <w:r w:rsidRPr="00887BB6">
        <w:rPr>
          <w:b/>
          <w:bCs/>
          <w:rtl/>
        </w:rPr>
        <w:t xml:space="preserve">, ומכל מקום חילופי הדברים אשר נערכו בשיחה פרטית בין </w:t>
      </w:r>
      <w:r w:rsidR="002E63BC">
        <w:rPr>
          <w:rFonts w:hint="cs"/>
          <w:b/>
          <w:bCs/>
          <w:rtl/>
        </w:rPr>
        <w:t>י'</w:t>
      </w:r>
      <w:r w:rsidR="002E63BC">
        <w:rPr>
          <w:b/>
          <w:bCs/>
          <w:rtl/>
        </w:rPr>
        <w:t xml:space="preserve"> לא</w:t>
      </w:r>
      <w:r w:rsidR="002E63BC">
        <w:rPr>
          <w:rFonts w:hint="cs"/>
          <w:b/>
          <w:bCs/>
          <w:rtl/>
        </w:rPr>
        <w:t>'</w:t>
      </w:r>
      <w:r w:rsidRPr="00887BB6">
        <w:rPr>
          <w:b/>
          <w:bCs/>
          <w:rtl/>
        </w:rPr>
        <w:t>, אינם נכללים בתחומי הגדרת ה"פרסום" בסעיף 2 ב' 1 לחוק איסור לשון הרע</w:t>
      </w:r>
      <w:r>
        <w:rPr>
          <w:rFonts w:hint="cs"/>
          <w:rtl/>
        </w:rPr>
        <w:t>"</w:t>
      </w:r>
      <w:r>
        <w:rPr>
          <w:rtl/>
        </w:rPr>
        <w:t>.</w:t>
      </w:r>
    </w:p>
    <w:p w:rsidR="00E3439C" w:rsidRDefault="00E3439C" w:rsidP="001A7D02">
      <w:pPr>
        <w:pStyle w:val="ad"/>
        <w:spacing w:after="120" w:line="360" w:lineRule="auto"/>
        <w:ind w:left="368"/>
        <w:contextualSpacing w:val="0"/>
        <w:rPr>
          <w:rtl/>
        </w:rPr>
      </w:pPr>
      <w:r>
        <w:rPr>
          <w:rFonts w:hint="cs"/>
          <w:rtl/>
        </w:rPr>
        <w:t xml:space="preserve">בימ"ש קובע אפוא ובצדק, כי המדובר בתמלול חלקי וחסר, אין כל ראייה כי כינוי הגנאי כוון כנגד המערערת, השיחה לא מתארת חילופי דברים אלא קטע חלקי מתוך תמלול רחב יותר, כאשר ההקשר הכולל לא הוצג ולא הובהר. בהקשר זה נזכיר שוב כי המערערים, מעבר לצירוף התמליל כמות שהוא לתצהיריהם, לא טרחו כלל להתייחס בתצהיריהם לתמליל, לטעון לגביו, לפרט את נסיבותיו, כאמור הם לא עשו זאת אף לא בסיכומים, וכאמור לעיל גם בכתב הערעור לא טרחו להתייחס לתמליל כלל! </w:t>
      </w:r>
    </w:p>
    <w:p w:rsidR="00E3439C" w:rsidRPr="005C4C19" w:rsidRDefault="00E3439C" w:rsidP="001A7D02">
      <w:pPr>
        <w:pStyle w:val="ad"/>
        <w:spacing w:after="120" w:line="360" w:lineRule="auto"/>
        <w:ind w:left="368"/>
        <w:contextualSpacing w:val="0"/>
        <w:rPr>
          <w:b/>
          <w:bCs/>
          <w:rtl/>
        </w:rPr>
      </w:pPr>
      <w:r>
        <w:rPr>
          <w:rFonts w:hint="cs"/>
          <w:rtl/>
        </w:rPr>
        <w:t xml:space="preserve">שוב, ייתכן כי באמצעות חקירת המשיבה ניתן היה להפוך את התמליל לראייה משמעותית כזו או אחרת,  </w:t>
      </w:r>
      <w:r w:rsidRPr="005C4C19">
        <w:rPr>
          <w:rFonts w:hint="cs"/>
          <w:b/>
          <w:bCs/>
          <w:rtl/>
        </w:rPr>
        <w:t>ברם כאמור המערערים וויתרו על חקירת המשיבה.</w:t>
      </w:r>
    </w:p>
    <w:p w:rsidR="00E3439C" w:rsidRDefault="00E3439C" w:rsidP="001A7D02">
      <w:pPr>
        <w:pStyle w:val="ad"/>
        <w:spacing w:after="120" w:line="360" w:lineRule="auto"/>
        <w:ind w:left="368"/>
        <w:contextualSpacing w:val="0"/>
        <w:rPr>
          <w:rtl/>
        </w:rPr>
      </w:pPr>
    </w:p>
    <w:p w:rsidR="00E3439C" w:rsidRDefault="00E3439C" w:rsidP="001A7D02">
      <w:pPr>
        <w:spacing w:after="120" w:line="360" w:lineRule="auto"/>
        <w:jc w:val="both"/>
        <w:rPr>
          <w:rtl/>
        </w:rPr>
      </w:pPr>
      <w:r>
        <w:rPr>
          <w:rFonts w:hint="cs"/>
          <w:b/>
          <w:bCs/>
          <w:u w:val="single"/>
          <w:rtl/>
        </w:rPr>
        <w:t>הערעור</w:t>
      </w:r>
    </w:p>
    <w:p w:rsidR="00E3439C" w:rsidRDefault="00E3439C" w:rsidP="00A06C3F">
      <w:pPr>
        <w:pStyle w:val="ad"/>
        <w:numPr>
          <w:ilvl w:val="0"/>
          <w:numId w:val="1"/>
        </w:numPr>
        <w:spacing w:after="120" w:line="360" w:lineRule="auto"/>
        <w:ind w:left="368"/>
        <w:contextualSpacing w:val="0"/>
      </w:pPr>
      <w:r>
        <w:rPr>
          <w:rFonts w:hint="cs"/>
          <w:rtl/>
        </w:rPr>
        <w:t>המערערים בערעורם מלינים על קביעות בימ</w:t>
      </w:r>
      <w:r>
        <w:rPr>
          <w:rtl/>
        </w:rPr>
        <w:t>"</w:t>
      </w:r>
      <w:r>
        <w:rPr>
          <w:rFonts w:hint="cs"/>
          <w:rtl/>
        </w:rPr>
        <w:t>ש קמא בפסק דינו וטוענים בתמצית שבימ</w:t>
      </w:r>
      <w:r>
        <w:rPr>
          <w:rtl/>
        </w:rPr>
        <w:t>"</w:t>
      </w:r>
      <w:r>
        <w:rPr>
          <w:rFonts w:hint="cs"/>
          <w:rtl/>
        </w:rPr>
        <w:t xml:space="preserve">ש לא הסיק את המסקנות הנכונות מהחומר שהיה מונח בפניו ולמעשה עיקר השגותיהם של המערערים מופנה כנגד הקביעות העובדתיות שנקבעו בפסק הדין ועל קביעתו של בימ"ש קמא כי אין בחומר המצוי בתיק משום הוכחת טענות המערערים. </w:t>
      </w:r>
    </w:p>
    <w:p w:rsidR="00E3439C" w:rsidRDefault="00E3439C" w:rsidP="001A7D02">
      <w:pPr>
        <w:pStyle w:val="ad"/>
        <w:numPr>
          <w:ilvl w:val="0"/>
          <w:numId w:val="1"/>
        </w:numPr>
        <w:spacing w:after="120" w:line="360" w:lineRule="auto"/>
        <w:ind w:left="368"/>
        <w:contextualSpacing w:val="0"/>
      </w:pPr>
      <w:r w:rsidRPr="009E1D19">
        <w:rPr>
          <w:rFonts w:ascii="Arial" w:hAnsi="Arial"/>
          <w:b/>
          <w:bCs/>
          <w:rtl/>
        </w:rPr>
        <w:t>לאחר ש</w:t>
      </w:r>
      <w:r w:rsidRPr="009E1D19">
        <w:rPr>
          <w:rFonts w:ascii="Arial" w:hAnsi="Arial" w:hint="cs"/>
          <w:b/>
          <w:bCs/>
          <w:rtl/>
        </w:rPr>
        <w:t xml:space="preserve">עיינו בטיעוני הצדדים ושמענו אותם בדיון בע"פ, נחה דעתנו כי אין מקום להתערב בפסק דינו של </w:t>
      </w:r>
      <w:r>
        <w:rPr>
          <w:rFonts w:ascii="Arial" w:hAnsi="Arial" w:hint="cs"/>
          <w:b/>
          <w:bCs/>
          <w:rtl/>
        </w:rPr>
        <w:t>בימ</w:t>
      </w:r>
      <w:r>
        <w:rPr>
          <w:rFonts w:ascii="Arial" w:hAnsi="Arial"/>
          <w:b/>
          <w:bCs/>
          <w:rtl/>
        </w:rPr>
        <w:t>"</w:t>
      </w:r>
      <w:r>
        <w:rPr>
          <w:rFonts w:ascii="Arial" w:hAnsi="Arial" w:hint="cs"/>
          <w:b/>
          <w:bCs/>
          <w:rtl/>
        </w:rPr>
        <w:t>ש</w:t>
      </w:r>
      <w:r w:rsidRPr="009E1D19">
        <w:rPr>
          <w:rFonts w:ascii="Arial" w:hAnsi="Arial" w:hint="cs"/>
          <w:b/>
          <w:bCs/>
          <w:rtl/>
        </w:rPr>
        <w:t xml:space="preserve"> קמא</w:t>
      </w:r>
      <w:r w:rsidRPr="00191DC8">
        <w:rPr>
          <w:rFonts w:ascii="Arial" w:hAnsi="Arial" w:hint="cs"/>
          <w:rtl/>
        </w:rPr>
        <w:t xml:space="preserve">; </w:t>
      </w:r>
      <w:r w:rsidRPr="009E1D19">
        <w:rPr>
          <w:rFonts w:ascii="Arial" w:hAnsi="Arial"/>
          <w:rtl/>
        </w:rPr>
        <w:t>לא מצאנו להתערב ב</w:t>
      </w:r>
      <w:r>
        <w:rPr>
          <w:rFonts w:ascii="Arial" w:hAnsi="Arial" w:hint="cs"/>
          <w:rtl/>
        </w:rPr>
        <w:t xml:space="preserve">קביעות העובדתיות </w:t>
      </w:r>
      <w:r w:rsidRPr="009E1D19">
        <w:rPr>
          <w:rFonts w:ascii="Arial" w:hAnsi="Arial"/>
          <w:rtl/>
        </w:rPr>
        <w:t>של השופט</w:t>
      </w:r>
      <w:r>
        <w:rPr>
          <w:rFonts w:ascii="Arial" w:hAnsi="Arial" w:hint="cs"/>
          <w:rtl/>
        </w:rPr>
        <w:t>ת</w:t>
      </w:r>
      <w:r w:rsidRPr="009E1D19">
        <w:rPr>
          <w:rFonts w:ascii="Arial" w:hAnsi="Arial"/>
          <w:rtl/>
        </w:rPr>
        <w:t xml:space="preserve"> קמא בפסק הדין; </w:t>
      </w:r>
      <w:r>
        <w:rPr>
          <w:rFonts w:ascii="Arial" w:hAnsi="Arial" w:hint="cs"/>
          <w:rtl/>
        </w:rPr>
        <w:t xml:space="preserve">קביעותיה העובדתיות תומכות </w:t>
      </w:r>
      <w:r w:rsidRPr="009E1D19">
        <w:rPr>
          <w:rFonts w:ascii="Arial" w:hAnsi="Arial"/>
          <w:rtl/>
        </w:rPr>
        <w:t>במסקנה המשפטית, שאין בה טעות שבחוק</w:t>
      </w:r>
      <w:r>
        <w:rPr>
          <w:rFonts w:ascii="Arial" w:hAnsi="Arial" w:hint="cs"/>
          <w:rtl/>
        </w:rPr>
        <w:t>.</w:t>
      </w:r>
    </w:p>
    <w:p w:rsidR="00DB2AED" w:rsidRDefault="00DB2AED" w:rsidP="00DB2AED">
      <w:pPr>
        <w:spacing w:after="120" w:line="360" w:lineRule="auto"/>
      </w:pPr>
    </w:p>
    <w:p w:rsidR="00E3439C" w:rsidRPr="009E1D19" w:rsidRDefault="00E3439C" w:rsidP="001A7D02">
      <w:pPr>
        <w:pStyle w:val="ad"/>
        <w:numPr>
          <w:ilvl w:val="0"/>
          <w:numId w:val="1"/>
        </w:numPr>
        <w:spacing w:after="120" w:line="360" w:lineRule="auto"/>
        <w:ind w:left="368"/>
        <w:contextualSpacing w:val="0"/>
      </w:pPr>
      <w:r w:rsidRPr="009E1D19">
        <w:rPr>
          <w:rFonts w:hint="cs"/>
          <w:b/>
          <w:bCs/>
          <w:u w:val="single"/>
          <w:rtl/>
        </w:rPr>
        <w:lastRenderedPageBreak/>
        <w:t>ו</w:t>
      </w:r>
      <w:r w:rsidRPr="009E1D19">
        <w:rPr>
          <w:rFonts w:ascii="Arial" w:hAnsi="Arial"/>
          <w:b/>
          <w:bCs/>
          <w:u w:val="single"/>
          <w:rtl/>
        </w:rPr>
        <w:t>נזכיר בנדון שני כללים</w:t>
      </w:r>
      <w:r w:rsidRPr="009E1D19">
        <w:rPr>
          <w:rFonts w:ascii="Arial" w:hAnsi="Arial"/>
          <w:rtl/>
        </w:rPr>
        <w:t>:</w:t>
      </w:r>
    </w:p>
    <w:p w:rsidR="00E3439C" w:rsidRPr="009E1D19" w:rsidRDefault="00E3439C" w:rsidP="001A7D02">
      <w:pPr>
        <w:spacing w:after="120" w:line="360" w:lineRule="auto"/>
        <w:ind w:left="368"/>
        <w:jc w:val="both"/>
        <w:rPr>
          <w:rFonts w:ascii="Arial" w:hAnsi="Arial"/>
          <w:rtl/>
        </w:rPr>
      </w:pPr>
      <w:r w:rsidRPr="009E1D19">
        <w:rPr>
          <w:rFonts w:ascii="Arial" w:hAnsi="Arial"/>
          <w:u w:val="single"/>
          <w:rtl/>
        </w:rPr>
        <w:t>הכלל הראשון</w:t>
      </w:r>
      <w:r w:rsidRPr="009E1D19">
        <w:rPr>
          <w:rFonts w:ascii="Arial" w:hAnsi="Arial"/>
          <w:rtl/>
        </w:rPr>
        <w:t xml:space="preserve"> – ערכאת הערעור אינה יושבת בדין כערכאה דיונית. הליך הערעור לא נועד לפתיחתו מחדש של הסכסוך כולו על כל רבדיו ומחלוקותיו כאילו המדובר במשפט חדש או במשפט חוזר. תפקידה של ערכאת הערעור הוא לבחון אם הממצאים שנקבעו בפסק הדין מעוגנים בחומר ראיות אמין, אם המסקנות שהוסקו עומדות במבחן ההוכחות, ההיגיון ומכלול הנסיבות, ואם התוצאה מתחייבת מבחינת הוראות הדין החלות על העניין (ע"א 586/84 </w:t>
      </w:r>
      <w:r w:rsidRPr="009E1D19">
        <w:rPr>
          <w:rFonts w:ascii="Arial" w:hAnsi="Arial"/>
          <w:b/>
          <w:bCs/>
          <w:rtl/>
        </w:rPr>
        <w:t>מקלף נ' זילברברג</w:t>
      </w:r>
      <w:r w:rsidRPr="009E1D19">
        <w:rPr>
          <w:rFonts w:ascii="Arial" w:hAnsi="Arial"/>
          <w:rtl/>
        </w:rPr>
        <w:t xml:space="preserve"> (1989); ע"א 8184/12 </w:t>
      </w:r>
      <w:r w:rsidRPr="009E1D19">
        <w:rPr>
          <w:rFonts w:ascii="Arial" w:hAnsi="Arial"/>
          <w:b/>
          <w:bCs/>
          <w:rtl/>
        </w:rPr>
        <w:t>מרכז תורני לאומי ע"ר נ' קפלן</w:t>
      </w:r>
      <w:r w:rsidRPr="009E1D19">
        <w:rPr>
          <w:rFonts w:ascii="Arial" w:hAnsi="Arial"/>
          <w:rtl/>
        </w:rPr>
        <w:t xml:space="preserve">, </w:t>
      </w:r>
      <w:r w:rsidRPr="009E1D19">
        <w:rPr>
          <w:rFonts w:ascii="Arial" w:hAnsi="Arial" w:hint="cs"/>
          <w:rtl/>
        </w:rPr>
        <w:t>סע' ל"ב</w:t>
      </w:r>
      <w:r w:rsidRPr="009E1D19">
        <w:rPr>
          <w:rFonts w:ascii="Arial" w:hAnsi="Arial"/>
          <w:rtl/>
        </w:rPr>
        <w:t xml:space="preserve"> (28.10.2015)). </w:t>
      </w:r>
    </w:p>
    <w:p w:rsidR="00E3439C" w:rsidRPr="006A0250" w:rsidRDefault="00E3439C" w:rsidP="001A7D02">
      <w:pPr>
        <w:spacing w:after="120" w:line="360" w:lineRule="auto"/>
        <w:ind w:left="368"/>
        <w:jc w:val="both"/>
        <w:rPr>
          <w:rFonts w:ascii="Arial" w:hAnsi="Arial"/>
          <w:rtl/>
        </w:rPr>
      </w:pPr>
      <w:r w:rsidRPr="006A0250">
        <w:rPr>
          <w:rFonts w:ascii="Arial" w:hAnsi="Arial"/>
          <w:rtl/>
        </w:rPr>
        <w:t>ה</w:t>
      </w:r>
      <w:r>
        <w:rPr>
          <w:rFonts w:ascii="Arial" w:hAnsi="Arial"/>
          <w:rtl/>
        </w:rPr>
        <w:t>די</w:t>
      </w:r>
      <w:r>
        <w:rPr>
          <w:rFonts w:ascii="Arial" w:hAnsi="Arial" w:hint="cs"/>
          <w:rtl/>
        </w:rPr>
        <w:t>ו</w:t>
      </w:r>
      <w:r w:rsidRPr="006A0250">
        <w:rPr>
          <w:rFonts w:ascii="Arial" w:hAnsi="Arial"/>
          <w:rtl/>
        </w:rPr>
        <w:t xml:space="preserve">ן בערעור אינו דיון מחודש בנושאים שנדונו והוכרעו בערכאה הקודמת מבלי שיש לכך הצדקה [עיינו: חמי בן-נון וטל חבקין </w:t>
      </w:r>
      <w:r w:rsidRPr="006A0250">
        <w:rPr>
          <w:rFonts w:ascii="Arial" w:hAnsi="Arial"/>
          <w:b/>
          <w:bCs/>
          <w:rtl/>
        </w:rPr>
        <w:t>הערעור האזרחי</w:t>
      </w:r>
      <w:r w:rsidRPr="006A0250">
        <w:rPr>
          <w:rFonts w:ascii="Arial" w:hAnsi="Arial"/>
          <w:rtl/>
        </w:rPr>
        <w:t xml:space="preserve"> 473 (2012); ע"א 2051/16 </w:t>
      </w:r>
      <w:r w:rsidRPr="006A0250">
        <w:rPr>
          <w:rFonts w:ascii="Arial" w:hAnsi="Arial"/>
          <w:b/>
          <w:bCs/>
          <w:rtl/>
        </w:rPr>
        <w:t>משה איטח נ' ש.פ. חברה לנאמנות ניהול ואחזקות בע"מ</w:t>
      </w:r>
      <w:r w:rsidRPr="006A0250">
        <w:rPr>
          <w:rFonts w:ascii="Arial" w:hAnsi="Arial"/>
          <w:rtl/>
        </w:rPr>
        <w:t>, (20.06.2018)‏‏].</w:t>
      </w:r>
    </w:p>
    <w:p w:rsidR="00E3439C" w:rsidRDefault="00E3439C" w:rsidP="001A7D02">
      <w:pPr>
        <w:spacing w:after="120" w:line="360" w:lineRule="auto"/>
        <w:ind w:left="368"/>
        <w:jc w:val="both"/>
        <w:rPr>
          <w:rFonts w:ascii="Arial" w:hAnsi="Arial"/>
          <w:rtl/>
        </w:rPr>
      </w:pPr>
      <w:r w:rsidRPr="006A0250">
        <w:rPr>
          <w:rFonts w:ascii="Arial" w:hAnsi="Arial"/>
          <w:u w:val="single"/>
          <w:rtl/>
        </w:rPr>
        <w:t>הכלל השני</w:t>
      </w:r>
      <w:r w:rsidRPr="006A0250">
        <w:rPr>
          <w:rFonts w:ascii="Arial" w:hAnsi="Arial"/>
          <w:rtl/>
        </w:rPr>
        <w:t xml:space="preserve"> – ערכאת הערעור תתערב בממצאים עובדתיים שקבעה הערכאה הדיונית רק במקרים חריגים, כאשר נפלה טעות בולטת בקביעתם, או שנמצא שיש בהם פגם היורד לשורשו של עניין [עיינו: ע"א 3601/96 </w:t>
      </w:r>
      <w:r w:rsidRPr="006A0250">
        <w:rPr>
          <w:rFonts w:ascii="Arial" w:hAnsi="Arial"/>
          <w:b/>
          <w:bCs/>
          <w:rtl/>
        </w:rPr>
        <w:t>בראשי נ' עיזבון המנוח זלמן בראשי ז"ל</w:t>
      </w:r>
      <w:r w:rsidRPr="006A0250">
        <w:rPr>
          <w:rFonts w:ascii="Arial" w:hAnsi="Arial"/>
          <w:rtl/>
        </w:rPr>
        <w:t xml:space="preserve">, פ"ד נב(2) 582, 594 (1998); ע"א 4250/15 </w:t>
      </w:r>
      <w:r w:rsidRPr="006A0250">
        <w:rPr>
          <w:rFonts w:ascii="Arial" w:hAnsi="Arial"/>
          <w:b/>
          <w:bCs/>
          <w:rtl/>
        </w:rPr>
        <w:t>חברה פלונית נ' פלוני</w:t>
      </w:r>
      <w:r>
        <w:rPr>
          <w:rFonts w:ascii="Arial" w:hAnsi="Arial"/>
          <w:rtl/>
        </w:rPr>
        <w:t xml:space="preserve"> (25.07.2018)]</w:t>
      </w:r>
      <w:r>
        <w:rPr>
          <w:rFonts w:ascii="Arial" w:hAnsi="Arial" w:hint="cs"/>
          <w:rtl/>
        </w:rPr>
        <w:t>.</w:t>
      </w:r>
    </w:p>
    <w:p w:rsidR="00E3439C" w:rsidRPr="00191DC8" w:rsidRDefault="00E3439C" w:rsidP="001A7D02">
      <w:pPr>
        <w:pStyle w:val="ad"/>
        <w:numPr>
          <w:ilvl w:val="0"/>
          <w:numId w:val="1"/>
        </w:numPr>
        <w:spacing w:after="120" w:line="360" w:lineRule="auto"/>
        <w:ind w:left="368"/>
        <w:contextualSpacing w:val="0"/>
        <w:rPr>
          <w:b/>
          <w:bCs/>
          <w:rtl/>
        </w:rPr>
      </w:pPr>
      <w:r w:rsidRPr="00191DC8">
        <w:rPr>
          <w:rFonts w:ascii="Arial" w:hAnsi="Arial"/>
          <w:u w:val="single"/>
          <w:rtl/>
        </w:rPr>
        <w:t>יישום שני כללים אלה מביא לדחיית הערעור</w:t>
      </w:r>
      <w:r w:rsidRPr="009E1D19">
        <w:rPr>
          <w:rFonts w:ascii="Arial" w:hAnsi="Arial" w:hint="cs"/>
          <w:rtl/>
        </w:rPr>
        <w:t xml:space="preserve">: </w:t>
      </w:r>
      <w:r w:rsidRPr="009E1D19">
        <w:rPr>
          <w:rFonts w:ascii="Arial" w:hAnsi="Arial"/>
          <w:rtl/>
        </w:rPr>
        <w:t>ה</w:t>
      </w:r>
      <w:r>
        <w:rPr>
          <w:rFonts w:ascii="Arial" w:hAnsi="Arial" w:hint="cs"/>
          <w:rtl/>
        </w:rPr>
        <w:t>קביעות העובדתיות</w:t>
      </w:r>
      <w:r w:rsidRPr="009E1D19">
        <w:rPr>
          <w:rFonts w:ascii="Arial" w:hAnsi="Arial"/>
          <w:rtl/>
        </w:rPr>
        <w:t xml:space="preserve"> שקבע </w:t>
      </w:r>
      <w:r>
        <w:rPr>
          <w:rFonts w:ascii="Arial" w:hAnsi="Arial"/>
          <w:rtl/>
        </w:rPr>
        <w:t>בימ"ש</w:t>
      </w:r>
      <w:r w:rsidRPr="009E1D19">
        <w:rPr>
          <w:rFonts w:ascii="Arial" w:hAnsi="Arial"/>
          <w:rtl/>
        </w:rPr>
        <w:t xml:space="preserve"> קמא</w:t>
      </w:r>
      <w:r>
        <w:rPr>
          <w:rFonts w:ascii="Arial" w:hAnsi="Arial" w:hint="cs"/>
          <w:rtl/>
        </w:rPr>
        <w:t xml:space="preserve">, </w:t>
      </w:r>
      <w:r w:rsidRPr="00191DC8">
        <w:rPr>
          <w:rFonts w:ascii="Arial" w:hAnsi="Arial" w:hint="cs"/>
          <w:b/>
          <w:bCs/>
          <w:rtl/>
        </w:rPr>
        <w:t>ובפרט קביעותיו כי המערערים לא הצליחו להוכיח את טענותיהם</w:t>
      </w:r>
      <w:r>
        <w:rPr>
          <w:rFonts w:ascii="Arial" w:hAnsi="Arial" w:hint="cs"/>
          <w:rtl/>
        </w:rPr>
        <w:t>,</w:t>
      </w:r>
      <w:r w:rsidRPr="009E1D19">
        <w:rPr>
          <w:rFonts w:ascii="Arial" w:hAnsi="Arial"/>
          <w:rtl/>
        </w:rPr>
        <w:t xml:space="preserve"> מעוגנים בחומר </w:t>
      </w:r>
      <w:r>
        <w:rPr>
          <w:rFonts w:ascii="Arial" w:hAnsi="Arial" w:hint="cs"/>
          <w:rtl/>
        </w:rPr>
        <w:t>המצוי בתיק</w:t>
      </w:r>
      <w:r>
        <w:rPr>
          <w:rFonts w:hint="cs"/>
          <w:rtl/>
        </w:rPr>
        <w:t xml:space="preserve">, בפרט כאשר </w:t>
      </w:r>
      <w:r w:rsidRPr="009E1D19">
        <w:rPr>
          <w:rFonts w:ascii="Arial" w:hAnsi="Arial" w:hint="cs"/>
          <w:rtl/>
        </w:rPr>
        <w:t xml:space="preserve">המערערים מצידם ויתרו על הליך שמיעת הראיות ובכך ויתרו באופן פוזיטיבי על האפשרות והזכות שניתנה להם להוכיח את טענותיהם, </w:t>
      </w:r>
      <w:r>
        <w:rPr>
          <w:rFonts w:ascii="Arial" w:hAnsi="Arial" w:hint="cs"/>
          <w:rtl/>
        </w:rPr>
        <w:t xml:space="preserve">ואף </w:t>
      </w:r>
      <w:r w:rsidRPr="009E1D19">
        <w:rPr>
          <w:rFonts w:ascii="Arial" w:hAnsi="Arial" w:hint="cs"/>
          <w:rtl/>
        </w:rPr>
        <w:t xml:space="preserve">בתצהיריהם הם הודו כאמור במפורש כי </w:t>
      </w:r>
      <w:r w:rsidRPr="009E1D19">
        <w:rPr>
          <w:rFonts w:ascii="Aharoni" w:hAnsi="Aharoni" w:cs="Aharoni" w:hint="cs"/>
          <w:rtl/>
        </w:rPr>
        <w:t>"י</w:t>
      </w:r>
      <w:r w:rsidRPr="009E1D19">
        <w:rPr>
          <w:rFonts w:ascii="Aharoni" w:hAnsi="Aharoni" w:cs="Aharoni"/>
          <w:rtl/>
        </w:rPr>
        <w:t>ש קושי להעיד עדים נוספים</w:t>
      </w:r>
      <w:r>
        <w:rPr>
          <w:rFonts w:hint="cs"/>
          <w:rtl/>
        </w:rPr>
        <w:t xml:space="preserve">". </w:t>
      </w:r>
      <w:r w:rsidRPr="00191DC8">
        <w:rPr>
          <w:rFonts w:hint="cs"/>
          <w:b/>
          <w:bCs/>
          <w:rtl/>
        </w:rPr>
        <w:t xml:space="preserve">אם אין עדים, אם אין ראיות, </w:t>
      </w:r>
      <w:r w:rsidRPr="00191DC8">
        <w:rPr>
          <w:rFonts w:ascii="Arial" w:hAnsi="Arial" w:hint="cs"/>
          <w:b/>
          <w:bCs/>
          <w:rtl/>
        </w:rPr>
        <w:t>מה למערערים כי ילינו על כך שבימ"ש קמא קבע טענותיהם לא הוכחו?</w:t>
      </w:r>
    </w:p>
    <w:p w:rsidR="00E3439C" w:rsidRDefault="00E3439C" w:rsidP="001A7D02">
      <w:pPr>
        <w:spacing w:after="120" w:line="360" w:lineRule="auto"/>
        <w:ind w:left="360"/>
        <w:jc w:val="both"/>
      </w:pPr>
      <w:r>
        <w:rPr>
          <w:rFonts w:hint="cs"/>
          <w:rtl/>
        </w:rPr>
        <w:t>בצדק הפנה בימ"ש קמא ל</w:t>
      </w:r>
      <w:r>
        <w:rPr>
          <w:rtl/>
        </w:rPr>
        <w:t xml:space="preserve">דברים אשר נאמרו בע"א 2144/13 </w:t>
      </w:r>
      <w:r w:rsidRPr="009E1D19">
        <w:rPr>
          <w:b/>
          <w:bCs/>
          <w:u w:val="single"/>
          <w:rtl/>
        </w:rPr>
        <w:t>עזבון המנוח עמית עמוס מנטין ז"ל נ' הרשות הפלסטינאית</w:t>
      </w:r>
      <w:r w:rsidRPr="009E1D19">
        <w:rPr>
          <w:rFonts w:hint="cs"/>
          <w:b/>
          <w:bCs/>
          <w:rtl/>
        </w:rPr>
        <w:t xml:space="preserve"> </w:t>
      </w:r>
      <w:r w:rsidRPr="009E1D19">
        <w:rPr>
          <w:rtl/>
        </w:rPr>
        <w:t>(</w:t>
      </w:r>
      <w:r>
        <w:rPr>
          <w:rtl/>
        </w:rPr>
        <w:t>6.12.14):</w:t>
      </w:r>
    </w:p>
    <w:p w:rsidR="00E3439C" w:rsidRPr="009E1D19" w:rsidRDefault="00DB2AED" w:rsidP="00DB2AED">
      <w:pPr>
        <w:spacing w:after="120" w:line="360" w:lineRule="auto"/>
        <w:ind w:left="720"/>
        <w:jc w:val="both"/>
        <w:rPr>
          <w:b/>
          <w:bCs/>
          <w:rtl/>
        </w:rPr>
      </w:pPr>
      <w:r>
        <w:rPr>
          <w:b/>
          <w:bCs/>
          <w:rtl/>
        </w:rPr>
        <w:t xml:space="preserve">"התובע, </w:t>
      </w:r>
      <w:r>
        <w:rPr>
          <w:rFonts w:hint="cs"/>
          <w:b/>
          <w:bCs/>
          <w:rtl/>
        </w:rPr>
        <w:t>'</w:t>
      </w:r>
      <w:r w:rsidR="00E3439C" w:rsidRPr="009E1D19">
        <w:rPr>
          <w:b/>
          <w:bCs/>
          <w:rtl/>
        </w:rPr>
        <w:t>המוציא מחברו, עליו הראיה</w:t>
      </w:r>
      <w:r>
        <w:rPr>
          <w:rFonts w:hint="cs"/>
          <w:b/>
          <w:bCs/>
          <w:rtl/>
        </w:rPr>
        <w:t>'</w:t>
      </w:r>
      <w:r w:rsidR="00E3439C" w:rsidRPr="009E1D19">
        <w:rPr>
          <w:b/>
          <w:bCs/>
          <w:rtl/>
        </w:rPr>
        <w:t xml:space="preserve">, עליו מוטל נטל השכנוע. לנטל זה נלווית חובת הראיה, שמשמעותה – "כי על בעל הדין האחד חלה חובה להביא ראיות לעמידה בנטל השכנוע, ועל בעל הדין השני חלה חובה להביא ראיות השומטות את הבסיס תחת ראיות שהובאו לחובתו" (אורי </w:t>
      </w:r>
      <w:r w:rsidR="00E3439C" w:rsidRPr="009E1D19">
        <w:rPr>
          <w:b/>
          <w:bCs/>
          <w:color w:val="000000"/>
          <w:rtl/>
        </w:rPr>
        <w:t xml:space="preserve">גורן </w:t>
      </w:r>
      <w:r w:rsidR="00E3439C" w:rsidRPr="001A7D02">
        <w:rPr>
          <w:b/>
          <w:bCs/>
          <w:rtl/>
        </w:rPr>
        <w:t>סוגיות בסדר דין אזרחי</w:t>
      </w:r>
      <w:r w:rsidR="00E3439C" w:rsidRPr="009E1D19">
        <w:rPr>
          <w:b/>
          <w:bCs/>
          <w:rtl/>
        </w:rPr>
        <w:t xml:space="preserve"> 543 (מהדורה שתים-עשרה, 2015))".</w:t>
      </w:r>
    </w:p>
    <w:p w:rsidR="00E3439C" w:rsidRPr="009E1D19" w:rsidRDefault="00E3439C" w:rsidP="001A7D02">
      <w:pPr>
        <w:spacing w:after="120" w:line="360" w:lineRule="auto"/>
        <w:ind w:left="360"/>
        <w:jc w:val="both"/>
      </w:pPr>
      <w:r>
        <w:rPr>
          <w:rFonts w:hint="cs"/>
          <w:rtl/>
        </w:rPr>
        <w:t>משבחרו אפוא המערערים לוותר על האפשרות להוכיח את טענותיהם, אין להם להלין אלא על עצמם.</w:t>
      </w:r>
    </w:p>
    <w:p w:rsidR="00E3439C" w:rsidRPr="009E1D19" w:rsidRDefault="00E3439C" w:rsidP="00703B7A">
      <w:pPr>
        <w:pStyle w:val="ad"/>
        <w:numPr>
          <w:ilvl w:val="0"/>
          <w:numId w:val="1"/>
        </w:numPr>
        <w:spacing w:after="120" w:line="360" w:lineRule="auto"/>
        <w:ind w:left="368"/>
        <w:contextualSpacing w:val="0"/>
      </w:pPr>
      <w:r>
        <w:rPr>
          <w:rFonts w:ascii="Arial" w:hAnsi="Arial" w:hint="cs"/>
          <w:rtl/>
        </w:rPr>
        <w:t xml:space="preserve">לאור האמור, </w:t>
      </w:r>
      <w:r w:rsidRPr="009E1D19">
        <w:rPr>
          <w:rFonts w:ascii="Arial" w:hAnsi="Arial"/>
          <w:rtl/>
        </w:rPr>
        <w:t>המסקנות המשפטיות שהסיק</w:t>
      </w:r>
      <w:r>
        <w:rPr>
          <w:rFonts w:ascii="Arial" w:hAnsi="Arial" w:hint="cs"/>
          <w:rtl/>
        </w:rPr>
        <w:t xml:space="preserve"> בימ"ש קמא</w:t>
      </w:r>
      <w:r w:rsidRPr="009E1D19">
        <w:rPr>
          <w:rFonts w:ascii="Arial" w:hAnsi="Arial"/>
          <w:rtl/>
        </w:rPr>
        <w:t>, מעוגנות בדין ובפסיקה, ולא מצא</w:t>
      </w:r>
      <w:r w:rsidR="00703B7A">
        <w:rPr>
          <w:rFonts w:ascii="Arial" w:hAnsi="Arial" w:hint="cs"/>
          <w:rtl/>
        </w:rPr>
        <w:t>תי</w:t>
      </w:r>
      <w:r w:rsidRPr="009E1D19">
        <w:rPr>
          <w:rFonts w:ascii="Arial" w:hAnsi="Arial"/>
          <w:rtl/>
        </w:rPr>
        <w:t xml:space="preserve"> כי יש מקום להתערב בהן. </w:t>
      </w:r>
    </w:p>
    <w:p w:rsidR="00E3439C" w:rsidRDefault="00E3439C" w:rsidP="00BD3E10">
      <w:pPr>
        <w:pStyle w:val="ad"/>
        <w:numPr>
          <w:ilvl w:val="0"/>
          <w:numId w:val="1"/>
        </w:numPr>
        <w:spacing w:after="120" w:line="360" w:lineRule="auto"/>
        <w:ind w:left="368"/>
        <w:contextualSpacing w:val="0"/>
      </w:pPr>
      <w:r w:rsidRPr="009E1D19">
        <w:rPr>
          <w:rFonts w:ascii="Arial" w:hAnsi="Arial"/>
          <w:rtl/>
        </w:rPr>
        <w:t xml:space="preserve">אשר על כן </w:t>
      </w:r>
      <w:r w:rsidR="00BD3E10">
        <w:rPr>
          <w:rFonts w:ascii="Arial" w:hAnsi="Arial" w:hint="cs"/>
          <w:rtl/>
        </w:rPr>
        <w:t>אמליץ לחבריי</w:t>
      </w:r>
      <w:r w:rsidRPr="009E1D19">
        <w:rPr>
          <w:rFonts w:ascii="Arial" w:hAnsi="Arial"/>
          <w:rtl/>
        </w:rPr>
        <w:t xml:space="preserve"> </w:t>
      </w:r>
      <w:r w:rsidR="00BD3E10">
        <w:rPr>
          <w:rFonts w:ascii="Arial" w:hAnsi="Arial" w:hint="cs"/>
          <w:rtl/>
        </w:rPr>
        <w:t>לאמץ</w:t>
      </w:r>
      <w:r w:rsidRPr="009E1D19">
        <w:rPr>
          <w:rFonts w:ascii="Arial" w:hAnsi="Arial"/>
          <w:rtl/>
        </w:rPr>
        <w:t xml:space="preserve"> את פסק דינו של בי</w:t>
      </w:r>
      <w:r>
        <w:rPr>
          <w:rFonts w:ascii="Arial" w:hAnsi="Arial" w:hint="cs"/>
          <w:rtl/>
        </w:rPr>
        <w:t>מ"ש</w:t>
      </w:r>
      <w:r w:rsidRPr="009E1D19">
        <w:rPr>
          <w:rFonts w:ascii="Arial" w:hAnsi="Arial" w:hint="cs"/>
          <w:rtl/>
        </w:rPr>
        <w:t xml:space="preserve"> קמא </w:t>
      </w:r>
      <w:r w:rsidR="00BD3E10">
        <w:rPr>
          <w:rFonts w:ascii="Arial" w:hAnsi="Arial" w:hint="cs"/>
          <w:b/>
          <w:bCs/>
          <w:rtl/>
        </w:rPr>
        <w:t>ולדחות</w:t>
      </w:r>
      <w:r w:rsidRPr="009E1D19">
        <w:rPr>
          <w:rFonts w:ascii="Arial" w:hAnsi="Arial" w:hint="cs"/>
          <w:b/>
          <w:bCs/>
          <w:rtl/>
        </w:rPr>
        <w:t xml:space="preserve"> </w:t>
      </w:r>
      <w:r w:rsidRPr="009E1D19">
        <w:rPr>
          <w:rFonts w:ascii="Arial" w:hAnsi="Arial"/>
          <w:b/>
          <w:bCs/>
          <w:rtl/>
        </w:rPr>
        <w:t>את הערעור מכ</w:t>
      </w:r>
      <w:r>
        <w:rPr>
          <w:rFonts w:ascii="Arial" w:hAnsi="Arial" w:hint="cs"/>
          <w:b/>
          <w:bCs/>
          <w:rtl/>
        </w:rPr>
        <w:t>ו</w:t>
      </w:r>
      <w:r w:rsidRPr="009E1D19">
        <w:rPr>
          <w:rFonts w:ascii="Arial" w:hAnsi="Arial"/>
          <w:b/>
          <w:bCs/>
          <w:rtl/>
        </w:rPr>
        <w:t xml:space="preserve">ח סמכותנו על פי </w:t>
      </w:r>
      <w:r>
        <w:rPr>
          <w:rFonts w:ascii="Arial" w:hAnsi="Arial" w:hint="cs"/>
          <w:b/>
          <w:bCs/>
          <w:rtl/>
        </w:rPr>
        <w:t>תקנה</w:t>
      </w:r>
      <w:r w:rsidRPr="009E1D19">
        <w:rPr>
          <w:rFonts w:ascii="Arial" w:hAnsi="Arial"/>
          <w:b/>
          <w:bCs/>
          <w:rtl/>
        </w:rPr>
        <w:t xml:space="preserve"> 148(ב) לתקנות סדר הדין האזרחי, התשע"ט-2018</w:t>
      </w:r>
      <w:r w:rsidRPr="009E1D19">
        <w:rPr>
          <w:rFonts w:ascii="Arial" w:hAnsi="Arial" w:hint="cs"/>
          <w:rtl/>
        </w:rPr>
        <w:t xml:space="preserve">. </w:t>
      </w:r>
    </w:p>
    <w:p w:rsidR="00E3439C" w:rsidRPr="00B303EB" w:rsidRDefault="00E3439C" w:rsidP="001A7D02">
      <w:pPr>
        <w:pStyle w:val="ad"/>
        <w:spacing w:after="120" w:line="360" w:lineRule="auto"/>
        <w:contextualSpacing w:val="0"/>
        <w:rPr>
          <w:rtl/>
        </w:rPr>
      </w:pPr>
    </w:p>
    <w:p w:rsidR="00E3439C" w:rsidRDefault="00BD3E10" w:rsidP="000934B8">
      <w:pPr>
        <w:pStyle w:val="ad"/>
        <w:numPr>
          <w:ilvl w:val="0"/>
          <w:numId w:val="1"/>
        </w:numPr>
        <w:spacing w:after="120" w:line="360" w:lineRule="auto"/>
        <w:ind w:left="368"/>
        <w:contextualSpacing w:val="0"/>
      </w:pPr>
      <w:r>
        <w:rPr>
          <w:rFonts w:ascii="Arial" w:hAnsi="Arial" w:hint="cs"/>
          <w:rtl/>
        </w:rPr>
        <w:lastRenderedPageBreak/>
        <w:t>כן אציע ש</w:t>
      </w:r>
      <w:r w:rsidR="00E3439C" w:rsidRPr="001A7D02">
        <w:rPr>
          <w:rFonts w:ascii="Arial" w:hAnsi="Arial"/>
          <w:rtl/>
        </w:rPr>
        <w:t>המערער</w:t>
      </w:r>
      <w:r w:rsidR="00E3439C" w:rsidRPr="001A7D02">
        <w:rPr>
          <w:rFonts w:ascii="Arial" w:hAnsi="Arial" w:hint="cs"/>
          <w:rtl/>
        </w:rPr>
        <w:t>ים</w:t>
      </w:r>
      <w:r w:rsidR="00E3439C" w:rsidRPr="001A7D02">
        <w:rPr>
          <w:rFonts w:ascii="Arial" w:hAnsi="Arial"/>
          <w:rtl/>
        </w:rPr>
        <w:t xml:space="preserve"> י</w:t>
      </w:r>
      <w:r w:rsidR="00E3439C" w:rsidRPr="001A7D02">
        <w:rPr>
          <w:rFonts w:ascii="Arial" w:hAnsi="Arial" w:hint="cs"/>
          <w:rtl/>
        </w:rPr>
        <w:t>י</w:t>
      </w:r>
      <w:r w:rsidR="00E3439C" w:rsidRPr="001A7D02">
        <w:rPr>
          <w:rFonts w:ascii="Arial" w:hAnsi="Arial"/>
          <w:rtl/>
        </w:rPr>
        <w:t>שא</w:t>
      </w:r>
      <w:r w:rsidR="00E3439C" w:rsidRPr="001A7D02">
        <w:rPr>
          <w:rFonts w:ascii="Arial" w:hAnsi="Arial" w:hint="cs"/>
          <w:rtl/>
        </w:rPr>
        <w:t>ו</w:t>
      </w:r>
      <w:r w:rsidR="00E3439C" w:rsidRPr="001A7D02">
        <w:rPr>
          <w:rFonts w:ascii="Arial" w:hAnsi="Arial"/>
          <w:rtl/>
        </w:rPr>
        <w:t xml:space="preserve"> בהוצאות המשיב</w:t>
      </w:r>
      <w:r w:rsidR="00E3439C" w:rsidRPr="001A7D02">
        <w:rPr>
          <w:rFonts w:ascii="Arial" w:hAnsi="Arial" w:hint="cs"/>
          <w:rtl/>
        </w:rPr>
        <w:t xml:space="preserve">ה </w:t>
      </w:r>
      <w:r w:rsidR="00E3439C" w:rsidRPr="001A7D02">
        <w:rPr>
          <w:rFonts w:ascii="Arial" w:hAnsi="Arial"/>
          <w:rtl/>
        </w:rPr>
        <w:t xml:space="preserve">בסך </w:t>
      </w:r>
      <w:r w:rsidR="00E3439C" w:rsidRPr="001A7D02">
        <w:rPr>
          <w:rFonts w:ascii="Arial" w:hAnsi="Arial" w:hint="cs"/>
          <w:rtl/>
        </w:rPr>
        <w:t>15,000 ש"ח, וזאת מתוך העירבון שהופקד שיועבר למשיבה.</w:t>
      </w:r>
      <w:r w:rsidR="00E3439C" w:rsidRPr="001A7D02">
        <w:rPr>
          <w:rFonts w:ascii="Arial" w:hAnsi="Arial"/>
          <w:rtl/>
        </w:rPr>
        <w:t xml:space="preserve">  </w:t>
      </w:r>
    </w:p>
    <w:p w:rsidR="001A7D02" w:rsidRDefault="001A7D02" w:rsidP="001A7D02">
      <w:pPr>
        <w:spacing w:after="120" w:line="360" w:lineRule="auto"/>
        <w:rPr>
          <w:rtl/>
        </w:rPr>
      </w:pPr>
    </w:p>
    <w:p w:rsidR="001A7D02" w:rsidRDefault="001A7D02" w:rsidP="001A7D02">
      <w:pPr>
        <w:spacing w:after="120" w:line="360" w:lineRule="auto"/>
        <w:rPr>
          <w:rtl/>
        </w:rPr>
      </w:pPr>
      <w:r w:rsidRPr="001A7D02">
        <w:rPr>
          <w:rFonts w:hint="cs"/>
          <w:b/>
          <w:bCs/>
          <w:u w:val="single"/>
          <w:rtl/>
        </w:rPr>
        <w:t>השופט חננאל שרעבי, אב"ד</w:t>
      </w:r>
      <w:r>
        <w:rPr>
          <w:rFonts w:hint="cs"/>
          <w:rtl/>
        </w:rPr>
        <w:t>:</w:t>
      </w:r>
    </w:p>
    <w:p w:rsidR="001A7D02" w:rsidRDefault="001A7D02" w:rsidP="001A7D02">
      <w:pPr>
        <w:spacing w:after="120" w:line="360" w:lineRule="auto"/>
        <w:rPr>
          <w:rtl/>
        </w:rPr>
      </w:pPr>
      <w:r>
        <w:rPr>
          <w:rFonts w:hint="cs"/>
          <w:rtl/>
        </w:rPr>
        <w:t>אני מסכים.</w:t>
      </w:r>
    </w:p>
    <w:p w:rsidR="001A7D02" w:rsidRDefault="001A7D02" w:rsidP="001A7D02">
      <w:pPr>
        <w:spacing w:after="120" w:line="360" w:lineRule="auto"/>
        <w:rPr>
          <w:rtl/>
        </w:rPr>
      </w:pPr>
    </w:p>
    <w:p w:rsidR="001A7D02" w:rsidRDefault="001A7D02" w:rsidP="001A7D02">
      <w:pPr>
        <w:spacing w:after="120" w:line="360" w:lineRule="auto"/>
        <w:rPr>
          <w:rtl/>
        </w:rPr>
      </w:pPr>
      <w:r w:rsidRPr="001A7D02">
        <w:rPr>
          <w:rFonts w:hint="cs"/>
          <w:b/>
          <w:bCs/>
          <w:u w:val="single"/>
          <w:rtl/>
        </w:rPr>
        <w:t>השופטת אספרנצה אלון</w:t>
      </w:r>
      <w:r>
        <w:rPr>
          <w:rFonts w:hint="cs"/>
          <w:rtl/>
        </w:rPr>
        <w:t>:</w:t>
      </w:r>
    </w:p>
    <w:p w:rsidR="001A7D02" w:rsidRDefault="001A7D02" w:rsidP="001A7D02">
      <w:pPr>
        <w:spacing w:after="120" w:line="360" w:lineRule="auto"/>
        <w:rPr>
          <w:rtl/>
        </w:rPr>
      </w:pPr>
      <w:r>
        <w:rPr>
          <w:rFonts w:hint="cs"/>
          <w:rtl/>
        </w:rPr>
        <w:t>אני מסכימה.</w:t>
      </w:r>
    </w:p>
    <w:p w:rsidR="001A7D02" w:rsidRDefault="001A7D02" w:rsidP="001A7D02">
      <w:pPr>
        <w:spacing w:after="120" w:line="360" w:lineRule="auto"/>
        <w:rPr>
          <w:rtl/>
        </w:rPr>
      </w:pPr>
    </w:p>
    <w:p w:rsidR="00BD3E10" w:rsidRPr="00BD3E10" w:rsidRDefault="00BD3E10" w:rsidP="00FB00CF">
      <w:pPr>
        <w:spacing w:after="120" w:line="360" w:lineRule="auto"/>
        <w:jc w:val="both"/>
        <w:rPr>
          <w:rFonts w:ascii="Arial" w:hAnsi="Arial"/>
          <w:b/>
          <w:bCs/>
          <w:rtl/>
        </w:rPr>
      </w:pPr>
      <w:r w:rsidRPr="00BD3E10">
        <w:rPr>
          <w:rFonts w:hint="cs"/>
          <w:b/>
          <w:bCs/>
          <w:rtl/>
        </w:rPr>
        <w:t>הוחלט פה אחד על דחיית הערעור</w:t>
      </w:r>
      <w:r>
        <w:rPr>
          <w:rFonts w:hint="cs"/>
          <w:b/>
          <w:bCs/>
          <w:rtl/>
        </w:rPr>
        <w:t>,</w:t>
      </w:r>
      <w:r w:rsidRPr="00BD3E10">
        <w:rPr>
          <w:rFonts w:hint="cs"/>
          <w:b/>
          <w:bCs/>
          <w:rtl/>
        </w:rPr>
        <w:t xml:space="preserve"> </w:t>
      </w:r>
      <w:r w:rsidRPr="00BD3E10">
        <w:rPr>
          <w:rFonts w:ascii="Arial" w:hAnsi="Arial"/>
          <w:b/>
          <w:bCs/>
          <w:rtl/>
        </w:rPr>
        <w:t>מכ</w:t>
      </w:r>
      <w:r w:rsidRPr="00BD3E10">
        <w:rPr>
          <w:rFonts w:ascii="Arial" w:hAnsi="Arial" w:hint="cs"/>
          <w:b/>
          <w:bCs/>
          <w:rtl/>
        </w:rPr>
        <w:t>ו</w:t>
      </w:r>
      <w:r w:rsidRPr="00BD3E10">
        <w:rPr>
          <w:rFonts w:ascii="Arial" w:hAnsi="Arial"/>
          <w:b/>
          <w:bCs/>
          <w:rtl/>
        </w:rPr>
        <w:t xml:space="preserve">ח סמכותנו על פי </w:t>
      </w:r>
      <w:r w:rsidRPr="00BD3E10">
        <w:rPr>
          <w:rFonts w:ascii="Arial" w:hAnsi="Arial" w:hint="cs"/>
          <w:b/>
          <w:bCs/>
          <w:rtl/>
        </w:rPr>
        <w:t>תקנה</w:t>
      </w:r>
      <w:r w:rsidRPr="00BD3E10">
        <w:rPr>
          <w:rFonts w:ascii="Arial" w:hAnsi="Arial"/>
          <w:b/>
          <w:bCs/>
          <w:rtl/>
        </w:rPr>
        <w:t xml:space="preserve"> 148(ב) לתקנות סדר הדין האזרחי, התשע"ט-2018</w:t>
      </w:r>
      <w:r w:rsidRPr="00BD3E10">
        <w:rPr>
          <w:rFonts w:ascii="Arial" w:hAnsi="Arial" w:hint="cs"/>
          <w:b/>
          <w:bCs/>
          <w:rtl/>
        </w:rPr>
        <w:t xml:space="preserve">. </w:t>
      </w:r>
    </w:p>
    <w:p w:rsidR="00BD3E10" w:rsidRDefault="00BD3E10" w:rsidP="00FB00CF">
      <w:pPr>
        <w:spacing w:after="120" w:line="360" w:lineRule="auto"/>
        <w:jc w:val="both"/>
        <w:rPr>
          <w:rtl/>
        </w:rPr>
      </w:pPr>
      <w:r w:rsidRPr="001A7D02">
        <w:rPr>
          <w:rFonts w:ascii="Arial" w:hAnsi="Arial"/>
          <w:rtl/>
        </w:rPr>
        <w:t>המערער</w:t>
      </w:r>
      <w:r w:rsidRPr="001A7D02">
        <w:rPr>
          <w:rFonts w:ascii="Arial" w:hAnsi="Arial" w:hint="cs"/>
          <w:rtl/>
        </w:rPr>
        <w:t>ים</w:t>
      </w:r>
      <w:r w:rsidRPr="001A7D02">
        <w:rPr>
          <w:rFonts w:ascii="Arial" w:hAnsi="Arial"/>
          <w:rtl/>
        </w:rPr>
        <w:t xml:space="preserve"> י</w:t>
      </w:r>
      <w:r w:rsidRPr="001A7D02">
        <w:rPr>
          <w:rFonts w:ascii="Arial" w:hAnsi="Arial" w:hint="cs"/>
          <w:rtl/>
        </w:rPr>
        <w:t>י</w:t>
      </w:r>
      <w:r w:rsidRPr="001A7D02">
        <w:rPr>
          <w:rFonts w:ascii="Arial" w:hAnsi="Arial"/>
          <w:rtl/>
        </w:rPr>
        <w:t>שא</w:t>
      </w:r>
      <w:r w:rsidRPr="001A7D02">
        <w:rPr>
          <w:rFonts w:ascii="Arial" w:hAnsi="Arial" w:hint="cs"/>
          <w:rtl/>
        </w:rPr>
        <w:t>ו</w:t>
      </w:r>
      <w:r w:rsidRPr="001A7D02">
        <w:rPr>
          <w:rFonts w:ascii="Arial" w:hAnsi="Arial"/>
          <w:rtl/>
        </w:rPr>
        <w:t xml:space="preserve"> בהוצאות המשיב</w:t>
      </w:r>
      <w:r w:rsidRPr="001A7D02">
        <w:rPr>
          <w:rFonts w:ascii="Arial" w:hAnsi="Arial" w:hint="cs"/>
          <w:rtl/>
        </w:rPr>
        <w:t xml:space="preserve">ה </w:t>
      </w:r>
      <w:r w:rsidRPr="001A7D02">
        <w:rPr>
          <w:rFonts w:ascii="Arial" w:hAnsi="Arial"/>
          <w:rtl/>
        </w:rPr>
        <w:t xml:space="preserve">בסך </w:t>
      </w:r>
      <w:r w:rsidRPr="001A7D02">
        <w:rPr>
          <w:rFonts w:ascii="Arial" w:hAnsi="Arial" w:hint="cs"/>
          <w:rtl/>
        </w:rPr>
        <w:t xml:space="preserve">15,000 ש"ח, וזאת מתוך העירבון שהופקד </w:t>
      </w:r>
      <w:r>
        <w:rPr>
          <w:rFonts w:ascii="Arial" w:hAnsi="Arial" w:hint="cs"/>
          <w:rtl/>
        </w:rPr>
        <w:t xml:space="preserve">בתיק, </w:t>
      </w:r>
      <w:r w:rsidRPr="001A7D02">
        <w:rPr>
          <w:rFonts w:ascii="Arial" w:hAnsi="Arial" w:hint="cs"/>
          <w:rtl/>
        </w:rPr>
        <w:t>שיועבר למשיבה</w:t>
      </w:r>
      <w:r>
        <w:rPr>
          <w:rFonts w:ascii="Arial" w:hAnsi="Arial" w:hint="cs"/>
          <w:rtl/>
        </w:rPr>
        <w:t xml:space="preserve"> באמצעות באת כוחה</w:t>
      </w:r>
      <w:r w:rsidRPr="001A7D02">
        <w:rPr>
          <w:rFonts w:ascii="Arial" w:hAnsi="Arial" w:hint="cs"/>
          <w:rtl/>
        </w:rPr>
        <w:t>.</w:t>
      </w:r>
      <w:r w:rsidRPr="001A7D02">
        <w:rPr>
          <w:rFonts w:ascii="Arial" w:hAnsi="Arial"/>
          <w:rtl/>
        </w:rPr>
        <w:t xml:space="preserve">  </w:t>
      </w:r>
    </w:p>
    <w:p w:rsidR="00BD3E10" w:rsidRDefault="00BD3E10" w:rsidP="00FB00CF">
      <w:pPr>
        <w:spacing w:after="120" w:line="360" w:lineRule="auto"/>
        <w:jc w:val="both"/>
      </w:pPr>
    </w:p>
    <w:p w:rsidR="00694556" w:rsidRDefault="00BD3E10" w:rsidP="00FB00CF">
      <w:pPr>
        <w:spacing w:after="120" w:line="360" w:lineRule="auto"/>
        <w:jc w:val="both"/>
        <w:rPr>
          <w:rFonts w:ascii="Arial" w:hAnsi="Arial"/>
          <w:noProof w:val="0"/>
          <w:rtl/>
        </w:rPr>
      </w:pPr>
      <w:r w:rsidRPr="00BD3E10">
        <w:rPr>
          <w:rFonts w:hint="cs"/>
          <w:b/>
          <w:bCs/>
          <w:rtl/>
        </w:rPr>
        <w:t>פסק דין זה מותר לפרסום, תוך השמטת שמות הצדדים וכל פרט מזהה אחר</w:t>
      </w:r>
      <w:r>
        <w:rPr>
          <w:rFonts w:hint="cs"/>
          <w:rtl/>
        </w:rPr>
        <w:t>.</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יוני 2024</w:t>
          </w:r>
        </w:sdtContent>
      </w:sdt>
      <w:r w:rsidR="00005C8B">
        <w:rPr>
          <w:rFonts w:ascii="Arial" w:hAnsi="Arial"/>
          <w:noProof w:val="0"/>
          <w:rtl/>
        </w:rPr>
        <w:t>, בהעדר הצדדים.</w:t>
      </w:r>
    </w:p>
    <w:p w:rsidR="00BD3E10" w:rsidRDefault="00BD3E10" w:rsidP="00860102">
      <w:pPr>
        <w:spacing w:line="360" w:lineRule="auto"/>
        <w:jc w:val="both"/>
        <w:rPr>
          <w:rFonts w:ascii="Arial" w:hAnsi="Arial"/>
          <w:noProof w:val="0"/>
          <w:rtl/>
        </w:rPr>
      </w:pPr>
    </w:p>
    <w:p w:rsidR="00BD3E10" w:rsidRDefault="00BD3E10" w:rsidP="00860102">
      <w:pPr>
        <w:spacing w:line="360" w:lineRule="auto"/>
        <w:jc w:val="both"/>
        <w:rPr>
          <w:rFonts w:ascii="Arial" w:hAnsi="Arial"/>
          <w:noProof w:val="0"/>
          <w:rtl/>
        </w:rPr>
      </w:pPr>
    </w:p>
    <w:p w:rsidR="00BD3E10" w:rsidRDefault="00BD3E10" w:rsidP="00860102">
      <w:pPr>
        <w:spacing w:line="360" w:lineRule="auto"/>
        <w:jc w:val="both"/>
        <w:rPr>
          <w:rFonts w:ascii="Arial" w:hAnsi="Arial"/>
          <w:noProof w:val="0"/>
          <w:rtl/>
        </w:rPr>
      </w:pPr>
    </w:p>
    <w:p w:rsidR="00BD3E10" w:rsidRPr="00EC12BC" w:rsidRDefault="00BD3E10"/>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BD3E10" w:rsidRPr="00EC12BC" w:rsidTr="000210FB">
        <w:tc>
          <w:tcPr>
            <w:tcW w:w="2796" w:type="dxa"/>
            <w:tcBorders>
              <w:top w:val="nil"/>
              <w:left w:val="nil"/>
              <w:bottom w:val="single" w:sz="4" w:space="0" w:color="auto"/>
              <w:right w:val="nil"/>
            </w:tcBorders>
            <w:vAlign w:val="bottom"/>
          </w:tcPr>
          <w:p w:rsidR="00BD3E10" w:rsidRPr="00EC12BC" w:rsidRDefault="00BD3E10"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66341" cy="847284"/>
                          </a:xfrm>
                          <a:prstGeom prst="rect">
                            <a:avLst/>
                          </a:prstGeom>
                        </pic:spPr>
                      </pic:pic>
                    </a:graphicData>
                  </a:graphic>
                </wp:inline>
              </w:drawing>
            </w:r>
          </w:p>
        </w:tc>
        <w:tc>
          <w:tcPr>
            <w:tcW w:w="354" w:type="dxa"/>
            <w:vAlign w:val="bottom"/>
          </w:tcPr>
          <w:p w:rsidR="00BD3E10" w:rsidRPr="00EC12BC" w:rsidRDefault="00BD3E10"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BD3E10" w:rsidRPr="00EC12BC" w:rsidRDefault="00BD3E10" w:rsidP="00BB162B">
            <w:pPr>
              <w:jc w:val="center"/>
              <w:rPr>
                <w:rFonts w:ascii="Courier New" w:hAnsi="Courier New"/>
                <w:b/>
                <w:bCs/>
              </w:rPr>
            </w:pPr>
            <w:r>
              <w:drawing>
                <wp:inline distT="0" distB="0" distL="0" distR="0" wp14:anchorId="319D00F2" wp14:editId="6F3A089F">
                  <wp:extent cx="527685" cy="817880"/>
                  <wp:effectExtent l="0" t="0" r="5715" b="1270"/>
                  <wp:docPr id="10" name="תמונה 10"/>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BD3E10" w:rsidRPr="00EC12BC" w:rsidRDefault="00BD3E10"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BD3E10" w:rsidRPr="00EC12BC" w:rsidRDefault="00BD3E10" w:rsidP="00BB162B">
            <w:pPr>
              <w:jc w:val="center"/>
              <w:rPr>
                <w:rFonts w:ascii="Courier New" w:hAnsi="Courier New"/>
                <w:b/>
                <w:bCs/>
              </w:rPr>
            </w:pPr>
            <w:r>
              <w:drawing>
                <wp:inline distT="0" distB="0" distL="0" distR="0" wp14:anchorId="6A3F69AA" wp14:editId="3EF4D19F">
                  <wp:extent cx="848360" cy="877570"/>
                  <wp:effectExtent l="0" t="0" r="8890" b="0"/>
                  <wp:docPr id="11" name="תמונה 11"/>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3">
                            <a:extLst>
                              <a:ext uri="{BEBA8EAE-BF5A-486C-A8C5-ECC9F3942E4B}">
                                <a14:imgProps xmlns:a14="http://schemas.microsoft.com/office/drawing/2010/main">
                                  <a14:imgLayer r:embed="rId14">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BD3E10" w:rsidRPr="00EC12BC" w:rsidTr="000210FB">
        <w:tc>
          <w:tcPr>
            <w:tcW w:w="2796" w:type="dxa"/>
            <w:tcBorders>
              <w:top w:val="single" w:sz="4" w:space="0" w:color="auto"/>
              <w:left w:val="nil"/>
              <w:bottom w:val="nil"/>
              <w:right w:val="nil"/>
            </w:tcBorders>
          </w:tcPr>
          <w:p w:rsidR="00BD3E10" w:rsidRDefault="00BD3E10" w:rsidP="00BB162B">
            <w:pPr>
              <w:jc w:val="center"/>
              <w:rPr>
                <w:b/>
                <w:bCs/>
                <w:rtl/>
              </w:rPr>
            </w:pPr>
            <w:r>
              <w:rPr>
                <w:rFonts w:hint="cs"/>
                <w:b/>
                <w:bCs/>
                <w:rtl/>
              </w:rPr>
              <w:t>ח. שרעבי, שופט</w:t>
            </w:r>
          </w:p>
          <w:p w:rsidR="00BD3E10" w:rsidRPr="00EC12BC" w:rsidRDefault="00BD3E10" w:rsidP="00BB162B">
            <w:pPr>
              <w:jc w:val="center"/>
              <w:rPr>
                <w:b/>
                <w:bCs/>
              </w:rPr>
            </w:pPr>
            <w:r>
              <w:rPr>
                <w:rFonts w:hint="cs"/>
                <w:b/>
                <w:bCs/>
                <w:rtl/>
              </w:rPr>
              <w:t>אב"ד</w:t>
            </w:r>
          </w:p>
        </w:tc>
        <w:tc>
          <w:tcPr>
            <w:tcW w:w="354" w:type="dxa"/>
          </w:tcPr>
          <w:p w:rsidR="00BD3E10" w:rsidRPr="00EC12BC" w:rsidRDefault="00BD3E10" w:rsidP="00BB162B">
            <w:pPr>
              <w:spacing w:line="360" w:lineRule="auto"/>
              <w:rPr>
                <w:b/>
                <w:bCs/>
                <w:color w:val="FF0000"/>
              </w:rPr>
            </w:pPr>
          </w:p>
        </w:tc>
        <w:tc>
          <w:tcPr>
            <w:tcW w:w="2312" w:type="dxa"/>
            <w:tcBorders>
              <w:top w:val="single" w:sz="4" w:space="0" w:color="auto"/>
              <w:left w:val="nil"/>
              <w:bottom w:val="nil"/>
              <w:right w:val="nil"/>
            </w:tcBorders>
          </w:tcPr>
          <w:p w:rsidR="00BD3E10" w:rsidRPr="00EC12BC" w:rsidRDefault="00BD3E10" w:rsidP="00BB162B">
            <w:pPr>
              <w:spacing w:line="360" w:lineRule="auto"/>
              <w:jc w:val="center"/>
              <w:rPr>
                <w:b/>
                <w:bCs/>
              </w:rPr>
            </w:pPr>
            <w:r>
              <w:rPr>
                <w:rFonts w:hint="cs"/>
                <w:b/>
                <w:bCs/>
                <w:rtl/>
              </w:rPr>
              <w:t>א. אלון, שופטת</w:t>
            </w:r>
          </w:p>
        </w:tc>
        <w:tc>
          <w:tcPr>
            <w:tcW w:w="341" w:type="dxa"/>
          </w:tcPr>
          <w:p w:rsidR="00BD3E10" w:rsidRPr="00EC12BC" w:rsidRDefault="00BD3E10" w:rsidP="00BB162B">
            <w:pPr>
              <w:spacing w:line="360" w:lineRule="auto"/>
              <w:rPr>
                <w:b/>
                <w:bCs/>
                <w:color w:val="FF0000"/>
              </w:rPr>
            </w:pPr>
          </w:p>
        </w:tc>
        <w:tc>
          <w:tcPr>
            <w:tcW w:w="2503" w:type="dxa"/>
            <w:tcBorders>
              <w:top w:val="single" w:sz="4" w:space="0" w:color="auto"/>
              <w:left w:val="nil"/>
              <w:bottom w:val="nil"/>
              <w:right w:val="nil"/>
            </w:tcBorders>
          </w:tcPr>
          <w:p w:rsidR="00BD3E10" w:rsidRPr="00EC12BC" w:rsidRDefault="00BD3E10" w:rsidP="00BB162B">
            <w:pPr>
              <w:spacing w:line="360" w:lineRule="auto"/>
              <w:jc w:val="center"/>
              <w:rPr>
                <w:b/>
                <w:bCs/>
                <w:rtl/>
              </w:rPr>
            </w:pPr>
            <w:r>
              <w:rPr>
                <w:rFonts w:hint="cs"/>
                <w:b/>
                <w:bCs/>
                <w:rtl/>
              </w:rPr>
              <w:t>א. נאמן, שופט</w:t>
            </w:r>
          </w:p>
        </w:tc>
      </w:tr>
    </w:tbl>
    <w:p w:rsidR="00694556" w:rsidRDefault="00BD6531" w:rsidP="00BD3E10">
      <w:pPr>
        <w:tabs>
          <w:tab w:val="left" w:pos="2553"/>
        </w:tabs>
        <w:rPr>
          <w:rFonts w:ascii="Arial" w:hAnsi="Arial"/>
          <w:noProof w:val="0"/>
          <w:rtl/>
        </w:rPr>
      </w:pPr>
      <w:r>
        <w:rPr>
          <w:rFonts w:hint="cs"/>
          <w:rtl/>
        </w:rPr>
        <w:tab/>
      </w:r>
      <w:r>
        <w:rPr>
          <w:rFonts w:hint="cs"/>
          <w:rtl/>
        </w:rPr>
        <w:tab/>
      </w:r>
      <w:r>
        <w:rPr>
          <w:rFonts w:hint="cs"/>
          <w:rtl/>
        </w:rPr>
        <w:tab/>
        <w:t xml:space="preserve">        </w:t>
      </w:r>
    </w:p>
    <w:sectPr w:rsidR="00694556" w:rsidSect="00E3439C">
      <w:headerReference w:type="even" r:id="rId15"/>
      <w:headerReference w:type="default" r:id="rId16"/>
      <w:footerReference w:type="even" r:id="rId17"/>
      <w:footerReference w:type="default" r:id="rId18"/>
      <w:headerReference w:type="first" r:id="rId19"/>
      <w:footerReference w:type="first" r:id="rId20"/>
      <w:pgSz w:w="11907" w:h="16840" w:code="9"/>
      <w:pgMar w:top="1440" w:right="992"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8D0" w:rsidRDefault="00A168D0">
      <w:r>
        <w:separator/>
      </w:r>
    </w:p>
  </w:endnote>
  <w:endnote w:type="continuationSeparator" w:id="0">
    <w:p w:rsidR="00A168D0" w:rsidRDefault="00A1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F2" w:rsidRDefault="002954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2954F2">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2954F2">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F2" w:rsidRDefault="002954F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8D0" w:rsidRDefault="00A168D0">
      <w:r>
        <w:separator/>
      </w:r>
    </w:p>
  </w:footnote>
  <w:footnote w:type="continuationSeparator" w:id="0">
    <w:p w:rsidR="00A168D0" w:rsidRDefault="00A16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F2" w:rsidRDefault="002954F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1" w:name="_GoBack"/>
    <w:tr w:rsidR="00694556">
      <w:trPr>
        <w:trHeight w:val="337"/>
        <w:jc w:val="center"/>
      </w:trPr>
      <w:tc>
        <w:tcPr>
          <w:tcW w:w="8721" w:type="dxa"/>
          <w:gridSpan w:val="2"/>
        </w:tcPr>
        <w:p w:rsidR="008D10B2" w:rsidRPr="00E3439C" w:rsidRDefault="00A168D0" w:rsidP="00ED49A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60415-06-23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D49A2">
                <w:rPr>
                  <w:rFonts w:hint="cs"/>
                  <w:b/>
                  <w:bCs/>
                  <w:noProof w:val="0"/>
                  <w:sz w:val="26"/>
                  <w:szCs w:val="26"/>
                  <w:rtl/>
                </w:rPr>
                <w:t>ח'</w:t>
              </w:r>
              <w:r w:rsidR="00424313">
                <w:rPr>
                  <w:b/>
                  <w:bCs/>
                  <w:noProof w:val="0"/>
                  <w:sz w:val="26"/>
                  <w:szCs w:val="26"/>
                  <w:rtl/>
                </w:rPr>
                <w:t xml:space="preserve"> ואח' נ' </w:t>
              </w:r>
              <w:r w:rsidR="00ED49A2">
                <w:rPr>
                  <w:rFonts w:hint="cs"/>
                  <w:b/>
                  <w:bCs/>
                  <w:noProof w:val="0"/>
                  <w:sz w:val="26"/>
                  <w:szCs w:val="26"/>
                  <w:rtl/>
                </w:rPr>
                <w:t>ח'</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F2" w:rsidRDefault="002954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B15780"/>
    <w:multiLevelType w:val="hybridMultilevel"/>
    <w:tmpl w:val="A33EFB46"/>
    <w:lvl w:ilvl="0" w:tplc="529EC646">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B80EF8"/>
    <w:multiLevelType w:val="hybridMultilevel"/>
    <w:tmpl w:val="A33EFB46"/>
    <w:lvl w:ilvl="0" w:tplc="529EC646">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743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74350&amp;lt;/CaseID&amp;gt;_x000d__x000a_        &amp;lt;CaseMonth&amp;gt;6&amp;lt;/CaseMonth&amp;gt;_x000d__x000a_        &amp;lt;CaseYear&amp;gt;2023&amp;lt;/CaseYear&amp;gt;_x000d__x000a_        &amp;lt;CaseNumber&amp;gt;60415&amp;lt;/CaseNumber&amp;gt;_x000d__x000a_        &amp;lt;NumeratorGroupID&amp;gt;1&amp;lt;/NumeratorGroupID&amp;gt;_x000d__x000a_        &amp;lt;CaseName&amp;gt;חלף ואח&amp;#39; נ&amp;#39; חאזן&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true&amp;lt;/IsAppealingCaseExist&amp;gt;_x000d__x000a_        &amp;lt;CaseDisplayIdentifier&amp;gt;60415-06-23&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6-25T15:38: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נשאר בלשכה מדיון קודם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74350&amp;lt;/CaseID&amp;gt;_x000d__x000a_        &amp;lt;CaseMonth&amp;gt;6&amp;lt;/CaseMonth&amp;gt;_x000d__x000a_        &amp;lt;CaseYear&amp;gt;2023&amp;lt;/CaseYear&amp;gt;_x000d__x000a_        &amp;lt;CaseNumber&amp;gt;60415&amp;lt;/CaseNumber&amp;gt;_x000d__x000a_        &amp;lt;NumeratorGroupID&amp;gt;1&amp;lt;/NumeratorGroupID&amp;gt;_x000d__x000a_        &amp;lt;CaseName&amp;gt;חלף ואח&amp;#39; נ&amp;#39; חאזן&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true&amp;lt;/IsAppealingCaseExist&amp;gt;_x000d__x000a_        &amp;lt;CaseDisplayIdentifier&amp;gt;60415-06-23&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3-06-25T15:38: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נשאר בלשכה מדיון קודם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71760&amp;lt;/DecisionID&amp;gt;_x000d__x000a_        &amp;lt;DecisionName&amp;gt;פסק דין  שניתנה ע&amp;quot;י  חננאל שרעבי&amp;lt;/DecisionName&amp;gt;_x000d__x000a_        &amp;lt;DecisionStatusID&amp;gt;1&amp;lt;/DecisionStatusID&amp;gt;_x000d__x000a_        &amp;lt;DecisionStatusChangeDate&amp;gt;2024-06-26T11:00:22.65+03:00&amp;lt;/DecisionStatusChangeDate&amp;gt;_x000d__x000a_        &amp;lt;DecisionSignatureDate&amp;gt;2024-06-26T09:55:36.003+03:00&amp;lt;/DecisionSignatureDate&amp;gt;_x000d__x000a_        &amp;lt;DecisionSignatureUserID&amp;gt;056479827@GOV.IL&amp;lt;/DecisionSignatureUserID&amp;gt;_x000d__x000a_        &amp;lt;DecisionCreateDate&amp;gt;2024-06-26T10:00:49.1+03:00&amp;lt;/DecisionCreateDate&amp;gt;_x000d__x000a_        &amp;lt;DecisionChangeDate&amp;gt;2024-06-26T11:00:22.72+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95322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2471760&amp;lt;/DecisionID&amp;gt;_x000d__x000a_        &amp;lt;CaseID&amp;gt;80374350&amp;lt;/CaseID&amp;gt;_x000d__x000a_        &amp;lt;IsOriginal&amp;gt;true&amp;lt;/IsOriginal&amp;gt;_x000d__x000a_        &amp;lt;IsDeleted&amp;gt;false&amp;lt;/IsDeleted&amp;gt;_x000d__x000a_        &amp;lt;CaseName&amp;gt;חלף ואח&amp;#39; נ&amp;#39; חאזן&amp;lt;/CaseName&amp;gt;_x000d__x000a_        &amp;lt;CaseDisplayIdentifier&amp;gt;60415-06-23 עמ&amp;quot;ש&amp;lt;/CaseDisplayIdentifier&amp;gt;_x000d__x000a_      &amp;lt;/dt_DecisionCase&amp;gt;_x000d__x000a_      &amp;lt;dt_DecisionJudgePanel diffgr:id=&amp;quot;dt_DecisionJudgePanel1&amp;quot; msdata:rowOrder=&amp;quot;0&amp;quot;&amp;gt;_x000d__x000a_        &amp;lt;DecisionID&amp;gt;152471760&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471760&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471760&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2471760"/>
    <w:docVar w:name="docID" w:val="446953226"/>
    <w:docVar w:name="judgeUPN" w:val="056479827@GOV.IL"/>
    <w:docVar w:name="NGCS.TemplateCaseInterestID" w:val="67"/>
    <w:docVar w:name="NGCS.TemplateCaseTypeID" w:val="63"/>
    <w:docVar w:name="NGCS.TemplateCourtID" w:val="13"/>
    <w:docVar w:name="NGCS.TemplateProceedingID" w:val="14"/>
    <w:docVar w:name="noteDocID" w:val="446953226"/>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242B0"/>
    <w:rsid w:val="001367BC"/>
    <w:rsid w:val="00144D2A"/>
    <w:rsid w:val="0014653E"/>
    <w:rsid w:val="00180519"/>
    <w:rsid w:val="00191C82"/>
    <w:rsid w:val="001A7D02"/>
    <w:rsid w:val="001B2C1F"/>
    <w:rsid w:val="001C4003"/>
    <w:rsid w:val="001D4DBF"/>
    <w:rsid w:val="001E75CA"/>
    <w:rsid w:val="002265FF"/>
    <w:rsid w:val="00271B56"/>
    <w:rsid w:val="00272E32"/>
    <w:rsid w:val="002954F2"/>
    <w:rsid w:val="002C344E"/>
    <w:rsid w:val="002E63BC"/>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425B"/>
    <w:rsid w:val="0043502B"/>
    <w:rsid w:val="004443AC"/>
    <w:rsid w:val="00444B02"/>
    <w:rsid w:val="00451E28"/>
    <w:rsid w:val="00462C62"/>
    <w:rsid w:val="00465D36"/>
    <w:rsid w:val="00487DAA"/>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2DD8"/>
    <w:rsid w:val="005F4F09"/>
    <w:rsid w:val="00603F73"/>
    <w:rsid w:val="0061431B"/>
    <w:rsid w:val="00622BAA"/>
    <w:rsid w:val="006306CF"/>
    <w:rsid w:val="00644E9A"/>
    <w:rsid w:val="00671BD5"/>
    <w:rsid w:val="006805C1"/>
    <w:rsid w:val="00686C21"/>
    <w:rsid w:val="006931C1"/>
    <w:rsid w:val="00694556"/>
    <w:rsid w:val="00697015"/>
    <w:rsid w:val="006C30C5"/>
    <w:rsid w:val="006D3B31"/>
    <w:rsid w:val="006E0D96"/>
    <w:rsid w:val="006E1A53"/>
    <w:rsid w:val="006F56E6"/>
    <w:rsid w:val="00703B7A"/>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87BB6"/>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168D0"/>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3E10"/>
    <w:rsid w:val="00BD6531"/>
    <w:rsid w:val="00BE05B2"/>
    <w:rsid w:val="00BF1908"/>
    <w:rsid w:val="00C22D93"/>
    <w:rsid w:val="00C23458"/>
    <w:rsid w:val="00C23AC9"/>
    <w:rsid w:val="00C31120"/>
    <w:rsid w:val="00C34482"/>
    <w:rsid w:val="00C43648"/>
    <w:rsid w:val="00C46CBB"/>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B2AED"/>
    <w:rsid w:val="00DC1259"/>
    <w:rsid w:val="00DC1BD2"/>
    <w:rsid w:val="00DC2571"/>
    <w:rsid w:val="00DC487C"/>
    <w:rsid w:val="00DD05A8"/>
    <w:rsid w:val="00DD4335"/>
    <w:rsid w:val="00DE1E7D"/>
    <w:rsid w:val="00DE6BF6"/>
    <w:rsid w:val="00E00709"/>
    <w:rsid w:val="00E1068A"/>
    <w:rsid w:val="00E25884"/>
    <w:rsid w:val="00E25B55"/>
    <w:rsid w:val="00E31C2B"/>
    <w:rsid w:val="00E3439C"/>
    <w:rsid w:val="00E5426A"/>
    <w:rsid w:val="00E54642"/>
    <w:rsid w:val="00E80CBE"/>
    <w:rsid w:val="00E9269D"/>
    <w:rsid w:val="00E962E3"/>
    <w:rsid w:val="00EB6C79"/>
    <w:rsid w:val="00EC37E9"/>
    <w:rsid w:val="00ED49A2"/>
    <w:rsid w:val="00F038D8"/>
    <w:rsid w:val="00F06995"/>
    <w:rsid w:val="00F12D66"/>
    <w:rsid w:val="00F13623"/>
    <w:rsid w:val="00F44D1D"/>
    <w:rsid w:val="00F84B6D"/>
    <w:rsid w:val="00F957E8"/>
    <w:rsid w:val="00FA311A"/>
    <w:rsid w:val="00FA5FDA"/>
    <w:rsid w:val="00FB00CF"/>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3439C"/>
    <w:pPr>
      <w:ind w:left="720"/>
      <w:contextualSpacing/>
      <w:jc w:val="both"/>
    </w:pPr>
    <w:rPr>
      <w:rFonts w:ascii="David" w:eastAsiaTheme="minorHAnsi" w:hAnsi="David"/>
      <w:noProof w:val="0"/>
    </w:rPr>
  </w:style>
  <w:style w:type="character" w:styleId="Hyperlink">
    <w:name w:val="Hyperlink"/>
    <w:basedOn w:val="a0"/>
    <w:uiPriority w:val="99"/>
    <w:unhideWhenUsed/>
    <w:rsid w:val="00E343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79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hdphoto" Target="media/hdphoto1.wdp"/><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099C"/>
    <w:rsid w:val="000A4ACE"/>
    <w:rsid w:val="001D696D"/>
    <w:rsid w:val="002D02C4"/>
    <w:rsid w:val="0031661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265530936</CasePartyID>
        <PartyTypeID>3</PartyTypeID>
        <ActivityStatusID>1</ActivityStatusID>
        <LegalEntityID>7566675</LegalEntityID>
        <CaseLegalEntityID>127529362</CaseLegalEntityID>
        <AssistantRoleID>33</AssistantRoleID>
        <AuthenticationTypeID>13</AuthenticationTypeID>
        <AuthenticationTypeName>משרדי ממשלה</AuthenticationTypeName>
        <LegalEntityNumber>520024695</LegalEntityNumber>
        <IsMainPartyType>true</IsMainPartyType>
        <CaseDisplayIdentifier>60415-06-23</CaseDisplayIdentifier>
        <CaseTypeID>63</CaseTypeID>
        <CaseTypeName>ערעור משפחה (עמ"ש)</CaseTypeName>
        <CaseName>חלף ואח' נ' חאזן</CaseName>
        <FullAddress>הרטום 8 הר חוצבים ירושלים </FullAddress>
        <MotionID>0</MotionID>
        <CasePleaID>0</CasePleaID>
        <LinkedCaseID>0</LinkedCaseID>
        <PartyID>1</PartyID>
        <CasePartyCategoryID>2</CasePartyCategoryID>
        <LegalEntityAddressID>82977301</LegalEntityAddressID>
        <PleaTypeID>6</PleaTypeID>
        <GroupPartyAlias/>
        <IsConverted>false</IsConverted>
        <LegalEntityRegisteredNameID>1792240</LegalEntityRegisteredNameID>
        <RepresentatedNamesOfAssistant/>
        <LegalEntityTypeID>3</LegalEntityTypeID>
        <IsVerdictExists>false</IsVerdictExists>
        <IsAsirAzir>false</IsAsirAzir>
        <IsPublicationProhibited>false</IsPublicationProhibited>
        <PublicationProhibitedFullName>המרכז לגביית קנסות אגרות והוצאות</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סמאח אבו גליל</FullName>
        <FirstName>סמאח</FirstName>
        <LastName>אבו גליל</LastName>
        <PartyPropertyName/>
        <AuthenticationTypeAndNumber>מ.ר. 52761</AuthenticationTypeAndNumber>
        <RepresentatedOrRepresentativesNames>אמירה חאזן</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257510644</CasePartyID>
        <PartyTypeID>2</PartyTypeID>
        <ActivityStatusID>1</ActivityStatusID>
        <PartyAliasID>23</PartyAliasID>
        <PartyAliasName>בא כוח משיבים</PartyAliasName>
        <LegalEntityID>33128589</LegalEntityID>
        <CaseLegalEntityID>124914188</CaseLegalEntityID>
        <AuthenticationTypeID>4</AuthenticationTypeID>
        <AuthenticationTypeName>מ.ר.</AuthenticationTypeName>
        <LegalEntityNumber>52761</LegalEntityNumber>
        <IsMainPartyType>true</IsMainPartyType>
        <CaseDisplayIdentifier>60415-06-23</CaseDisplayIdentifier>
        <CaseTypeID>63</CaseTypeID>
        <CaseTypeName>ערעור משפחה (עמ"ש)</CaseTypeName>
        <CaseName>חלף ואח' נ' חאזן</CaseName>
        <FullAddress>ת.ד. 975 שפרעם </FullAddress>
        <EmailAddress>ogo720@hotmail.com</EmailAddress>
        <MotionID>0</MotionID>
        <CasePleaID>0</CasePleaID>
        <LinkedCaseID>0</LinkedCaseID>
        <PartyID>2</PartyID>
        <CasePartyCategoryID>2</CasePartyCategoryID>
        <LegalEntityAddressID>80041379</LegalEntityAddressID>
        <LegalEntityEmailAddressID>31823840</LegalEntityEmailAddressID>
        <PleaTypeID>6</PleaTypeID>
        <LawyerOfficeName>משרד עו"ד סמאח אבו גליל</LawyerOfficeName>
        <LawyerOfficeID>33128590</LawyerOfficeID>
        <GroupPartyAlias/>
        <IsConverted>false</IsConverted>
        <LegalEntityNameID>34918960</LegalEntityNameID>
        <RepresentatedNamesOfAssistant/>
        <LegalEntityTypeID>4</LegalEntityTypeID>
        <IsVerdictExists>false</IsVerdictExists>
        <IsAsirAzir>false</IsAsirAzir>
        <IsPublicationProhibited>false</IsPublicationProhibited>
        <PublicationProhibitedFullName>סמאח אבו גליל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יהושע רובין</FullName>
        <FirstName>יהושע</FirstName>
        <LastName>רובין</LastName>
        <PartyPropertyName/>
        <AuthenticationTypeAndNumber>מ.ר. 6657</AuthenticationTypeAndNumber>
        <RepresentatedOrRepresentativesNames>ישראל חלף, תמרה חלף</RepresentatedOrRepresentativesNames>
        <RepresentatedOrRepresentativesCount>2</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257502295</CasePartyID>
        <PartyTypeID>2</PartyTypeID>
        <ActivityStatusID>1</ActivityStatusID>
        <PartyAliasID>24</PartyAliasID>
        <PartyAliasName>בא כוח מערערים</PartyAliasName>
        <OrdinalNumber>1</OrdinalNumber>
        <LegalEntityID>383051</LegalEntityID>
        <CaseLegalEntityID>124911293</CaseLegalEntityID>
        <AuthenticationTypeID>4</AuthenticationTypeID>
        <AuthenticationTypeName>מ.ר.</AuthenticationTypeName>
        <LegalEntityNumber>6657</LegalEntityNumber>
        <IsMainPartyType>true</IsMainPartyType>
        <CaseDisplayIdentifier>60415-06-23</CaseDisplayIdentifier>
        <CaseTypeID>63</CaseTypeID>
        <CaseTypeName>ערעור משפחה (עמ"ש)</CaseTypeName>
        <CaseName>חלף ואח' נ' חאזן</CaseName>
        <FullAddress>אורה 1 דירה 20 נוף הגליל </FullAddress>
        <EmailAddress>abc12345@bezeqint.net</EmailAddress>
        <MotionID>0</MotionID>
        <CasePleaID>0</CasePleaID>
        <FatherName xml:space="preserve">        </FatherName>
        <LinkedCaseID>0</LinkedCaseID>
        <PartyID>1</PartyID>
        <CasePartyCategoryID>2</CasePartyCategoryID>
        <LegalEntityAddressID>70751300</LegalEntityAddressID>
        <LegalEntityEmailAddressID>67840163</LegalEntityEmailAddressID>
        <PleaTypeID>6</PleaTypeID>
        <LawyerOfficeName>משרד עו"ד: יהושע רובין</LawyerOfficeName>
        <LawyerOfficeID>423695</LawyerOfficeID>
        <GroupPartyAlias/>
        <IsConverted>false</IsConverted>
        <LegalEntityNameID>4035</LegalEntityNameID>
        <RepresentatedNamesOfAssistant/>
        <LegalEntityTypeID>4</LegalEntityTypeID>
        <IsVerdictExists>false</IsVerdictExists>
        <IsAsirAzir>false</IsAsirAzir>
        <IsPublicationProhibited>false</IsPublicationProhibited>
        <PublicationProhibitedFullName>יהושע רובין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ישראל חלף</FullName>
        <FirstName>ישראל</FirstName>
        <LastName>חלף</LastName>
        <PartyPropertyName/>
        <AuthenticationTypeAndNumber>ת"ז 313834913</AuthenticationTypeAndNumber>
        <RepresentatedOrRepresentativesNames>יהושע רובין</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257502292</CasePartyID>
        <PartyTypeID>1</PartyTypeID>
        <ActivityStatusID>1</ActivityStatusID>
        <PartyAliasID>5</PartyAliasID>
        <PartyAliasName>מערער</PartyAliasName>
        <OrdinalNumber>1</OrdinalNumber>
        <LegalEntityID>7576173</LegalEntityID>
        <CaseLegalEntityID>124911290</CaseLegalEntityID>
        <AuthenticationTypeID>1</AuthenticationTypeID>
        <AuthenticationTypeName>ת"ז</AuthenticationTypeName>
        <LegalEntityNumber>313834913</LegalEntityNumber>
        <IsMainPartyType>true</IsMainPartyType>
        <CaseDisplayIdentifier>60415-06-23</CaseDisplayIdentifier>
        <CaseTypeID>63</CaseTypeID>
        <CaseTypeName>ערעור משפחה (עמ"ש)</CaseTypeName>
        <CaseName>חלף ואח' נ' חאזן</CaseName>
        <FullAddress>קאודרס 17/1 חיפה </FullAddress>
        <MotionID>0</MotionID>
        <CasePleaID>0</CasePleaID>
        <FatherName/>
        <LinkedCaseID>0</LinkedCaseID>
        <PartyID>1</PartyID>
        <CasePartyCategoryID>2</CasePartyCategoryID>
        <LegalEntityAddressID>88090668</LegalEntityAddressID>
        <PleaTypeID>6</PleaTypeID>
        <GroupPartyAlias>מערערים</GroupPartyAlias>
        <IsConverted>false</IsConverted>
        <LegalEntityNameID>84206078</LegalEntityNameID>
        <RepresentatedNamesOfAssistant/>
        <LegalEntityTypeID>1</LegalEntityTypeID>
        <IsVerdictExists>false</IsVerdictExists>
        <IsAsirAzir>false</IsAsirAzir>
        <IsPublicationProhibited>false</IsPublicationProhibited>
        <PublicationProhibitedFullName>ישראל חלף</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אמירה חאזן</FullName>
        <FirstName>אמירה</FirstName>
        <LastName>ח'לוף</LastName>
        <PartyPropertyName/>
        <AuthenticationTypeAndNumber>ת"ז 025964669</AuthenticationTypeAndNumber>
        <RepresentatedOrRepresentativesNames>סמאח אבו גליל</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257502294</CasePartyID>
        <PartyTypeID>1</PartyTypeID>
        <ActivityStatusID>1</ActivityStatusID>
        <PartyAliasID>4</PartyAliasID>
        <PartyAliasName>משיב</PartyAliasName>
        <OrdinalNumber>1</OrdinalNumber>
        <LegalEntityID>3727338</LegalEntityID>
        <CaseLegalEntityID>124911292</CaseLegalEntityID>
        <AuthenticationTypeID>1</AuthenticationTypeID>
        <AuthenticationTypeName>ת"ז</AuthenticationTypeName>
        <LegalEntityNumber>025964669</LegalEntityNumber>
        <IsMainPartyType>true</IsMainPartyType>
        <CaseDisplayIdentifier>60415-06-23</CaseDisplayIdentifier>
        <CaseTypeID>63</CaseTypeID>
        <CaseTypeName>ערעור משפחה (עמ"ש)</CaseTypeName>
        <CaseName>חלף ואח' נ' חאזן</CaseName>
        <FullAddress>שפרעם </FullAddress>
        <MotionID>0</MotionID>
        <CasePleaID>0</CasePleaID>
        <FatherName>ח'ליל</FatherName>
        <LinkedCaseID>0</LinkedCaseID>
        <PartyID>2</PartyID>
        <CasePartyCategoryID>2</CasePartyCategoryID>
        <LegalEntityAddressID>80195517</LegalEntityAddressID>
        <PleaTypeID>6</PleaTypeID>
        <GroupPartyAlias>משיבים</GroupPartyAlias>
        <IsConverted>false</IsConverted>
        <LegalEntityRegisteredNameID>6613856</LegalEntityRegisteredNameID>
        <LegalEntityNameID>84206080</LegalEntityNameID>
        <RepresentatedNamesOfAssistant/>
        <LegalEntityTypeID>1</LegalEntityTypeID>
        <IsVerdictExists>false</IsVerdictExists>
        <IsAsirAzir>false</IsAsirAzir>
        <IsPublicationProhibited>false</IsPublicationProhibited>
        <PublicationProhibitedFullName>אמירה חאזן</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תמרה חלף</FullName>
        <FirstName>תמרה</FirstName>
        <LastName>חלף</LastName>
        <PartyPropertyName/>
        <AuthenticationTypeAndNumber>ת"ז 037402641</AuthenticationTypeAndNumber>
        <RepresentatedOrRepresentativesNames>יהושע רובין</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257502293</CasePartyID>
        <PartyTypeID>1</PartyTypeID>
        <ActivityStatusID>1</ActivityStatusID>
        <PartyAliasID>5</PartyAliasID>
        <PartyAliasName>מערער</PartyAliasName>
        <OrdinalNumber>2</OrdinalNumber>
        <LegalEntityID>7571422</LegalEntityID>
        <CaseLegalEntityID>124911291</CaseLegalEntityID>
        <AuthenticationTypeID>1</AuthenticationTypeID>
        <AuthenticationTypeName>ת"ז</AuthenticationTypeName>
        <LegalEntityNumber>037402641</LegalEntityNumber>
        <IsMainPartyType>true</IsMainPartyType>
        <CaseDisplayIdentifier>60415-06-23</CaseDisplayIdentifier>
        <CaseTypeID>63</CaseTypeID>
        <CaseTypeName>ערעור משפחה (עמ"ש)</CaseTypeName>
        <CaseName>חלף ואח' נ' חאזן</CaseName>
        <FullAddress>קאודרס בן ציון 17/1 חיפה </FullAddress>
        <MotionID>0</MotionID>
        <CasePleaID>0</CasePleaID>
        <FatherName>אריאל</FatherName>
        <LinkedCaseID>0</LinkedCaseID>
        <PartyID>1</PartyID>
        <CasePartyCategoryID>2</CasePartyCategoryID>
        <LegalEntityAddressID>88090671</LegalEntityAddressID>
        <PleaTypeID>6</PleaTypeID>
        <GroupPartyAlias>מערערים</GroupPartyAlias>
        <IsConverted>false</IsConverted>
        <LegalEntityRegisteredNameID>6613855</LegalEntityRegisteredNameID>
        <LegalEntityNameID>84206079</LegalEntityNameID>
        <RepresentatedNamesOfAssistant/>
        <LegalEntityTypeID>1</LegalEntityTypeID>
        <IsVerdictExists>false</IsVerdictExists>
        <IsAsirAzir>false</IsAsirAzir>
        <IsPublicationProhibited>false</IsPublicationProhibited>
        <PublicationProhibitedFullName>תמרה חלף</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2024-06-26T09:55:36.0021977+03:00</DecisionSignatureDate>
    <OpenCaseDate>2023-06-25T15:38:00+03:00</OpenCaseDate>
    <CaseFeeSum>0.000</CaseFeeSum>
    <DecisionTypeID>2</DecisionTypeID>
    <DecisionSignatureUserName>חננאל שרעבי</DecisionSignatureUserName>
    <DecisionSignatureDateHebrew>2024-06-26T09:55:36.0021977+03:00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חלף ואח' נ' חאזן</CaseName>
    <DecisionNumberInCase>22</DecisionNumberInCase>
  </dt_Decision>
  <dt_DecisionCase>
    <DecisionID>0</DecisionID>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265530936</CasePartyID>
        <PartyTypeID>3</PartyTypeID>
        <ActivityStatusID>1</ActivityStatusID>
        <LegalEntityID>7566675</LegalEntityID>
        <CaseLegalEntityID>127529362</CaseLegalEntityID>
        <AssistantRoleID>33</AssistantRoleID>
        <AuthenticationTypeID>13</AuthenticationTypeID>
        <AuthenticationTypeName>משרדי ממשלה</AuthenticationTypeName>
        <LegalEntityNumber>520024695</LegalEntityNumber>
        <IsMainPartyType>true</IsMainPartyType>
        <CaseDisplayIdentifier>60415-06-23</CaseDisplayIdentifier>
        <CaseTypeID>63</CaseTypeID>
        <CaseTypeName>ערעור משפחה (עמ"ש)</CaseTypeName>
        <CaseName>חלף ואח' נ' חאזן</CaseName>
        <FullAddress>הרטום 8 הר חוצבים ירושלים </FullAddress>
        <MotionID>0</MotionID>
        <CasePleaID>0</CasePleaID>
        <LinkedCaseID>0</LinkedCaseID>
        <PartyID>1</PartyID>
        <CasePartyCategoryID>2</CasePartyCategoryID>
        <LegalEntityAddressID>82977301</LegalEntityAddressID>
        <PleaTypeID>6</PleaTypeID>
        <GroupPartyAlias/>
        <IsConverted>false</IsConverted>
        <LegalEntityRegisteredNameID>1792240</LegalEntityRegisteredNameID>
        <RepresentatedNamesOfAssistant/>
        <LegalEntityTypeID>3</LegalEntityTypeID>
        <IsVerdictExists>false</IsVerdictExists>
        <IsAsirAzir>false</IsAsirAzir>
        <IsPublicationProhibited>false</IsPublicationProhibited>
        <PublicationProhibitedFullName>המרכז לגביית קנסות אגרות והוצאות</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סמאח אבו גליל</FullName>
        <FirstName>סמאח</FirstName>
        <LastName>אבו גליל</LastName>
        <PartyPropertyName/>
        <AuthenticationTypeAndNumber>מ.ר. 52761</AuthenticationTypeAndNumber>
        <RepresentatedOrRepresentativesNames>אמירה חאזן</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257510644</CasePartyID>
        <PartyTypeID>2</PartyTypeID>
        <ActivityStatusID>1</ActivityStatusID>
        <PartyAliasID>23</PartyAliasID>
        <PartyAliasName>בא כוח משיבים</PartyAliasName>
        <LegalEntityID>33128589</LegalEntityID>
        <CaseLegalEntityID>124914188</CaseLegalEntityID>
        <AuthenticationTypeID>4</AuthenticationTypeID>
        <AuthenticationTypeName>מ.ר.</AuthenticationTypeName>
        <LegalEntityNumber>52761</LegalEntityNumber>
        <IsMainPartyType>true</IsMainPartyType>
        <CaseDisplayIdentifier>60415-06-23</CaseDisplayIdentifier>
        <CaseTypeID>63</CaseTypeID>
        <CaseTypeName>ערעור משפחה (עמ"ש)</CaseTypeName>
        <CaseName>חלף ואח' נ' חאזן</CaseName>
        <FullAddress>ת.ד. 975 שפרעם </FullAddress>
        <EmailAddress>ogo720@hotmail.com</EmailAddress>
        <MotionID>0</MotionID>
        <CasePleaID>0</CasePleaID>
        <LinkedCaseID>0</LinkedCaseID>
        <PartyID>2</PartyID>
        <CasePartyCategoryID>2</CasePartyCategoryID>
        <LegalEntityAddressID>80041379</LegalEntityAddressID>
        <LegalEntityEmailAddressID>31823840</LegalEntityEmailAddressID>
        <PleaTypeID>6</PleaTypeID>
        <LawyerOfficeName>משרד עו"ד סמאח אבו גליל</LawyerOfficeName>
        <LawyerOfficeID>33128590</LawyerOfficeID>
        <GroupPartyAlias/>
        <IsConverted>false</IsConverted>
        <LegalEntityNameID>34918960</LegalEntityNameID>
        <RepresentatedNamesOfAssistant/>
        <LegalEntityTypeID>4</LegalEntityTypeID>
        <IsVerdictExists>false</IsVerdictExists>
        <IsAsirAzir>false</IsAsirAzir>
        <IsPublicationProhibited>false</IsPublicationProhibited>
        <PublicationProhibitedFullName>סמאח אבו גליל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יהושע רובין</FullName>
        <FirstName>יהושע</FirstName>
        <LastName>רובין</LastName>
        <PartyPropertyName/>
        <AuthenticationTypeAndNumber>מ.ר. 6657</AuthenticationTypeAndNumber>
        <RepresentatedOrRepresentativesNames>ישראל חלף, תמרה חלף</RepresentatedOrRepresentativesNames>
        <RepresentatedOrRepresentativesCount>2</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257502295</CasePartyID>
        <PartyTypeID>2</PartyTypeID>
        <ActivityStatusID>1</ActivityStatusID>
        <PartyAliasID>24</PartyAliasID>
        <PartyAliasName>בא כוח מערערים</PartyAliasName>
        <OrdinalNumber>1</OrdinalNumber>
        <LegalEntityID>383051</LegalEntityID>
        <CaseLegalEntityID>124911293</CaseLegalEntityID>
        <AuthenticationTypeID>4</AuthenticationTypeID>
        <AuthenticationTypeName>מ.ר.</AuthenticationTypeName>
        <LegalEntityNumber>6657</LegalEntityNumber>
        <IsMainPartyType>true</IsMainPartyType>
        <CaseDisplayIdentifier>60415-06-23</CaseDisplayIdentifier>
        <CaseTypeID>63</CaseTypeID>
        <CaseTypeName>ערעור משפחה (עמ"ש)</CaseTypeName>
        <CaseName>חלף ואח' נ' חאזן</CaseName>
        <FullAddress>אורה 1 דירה 20 נוף הגליל </FullAddress>
        <EmailAddress>abc12345@bezeqint.net</EmailAddress>
        <MotionID>0</MotionID>
        <CasePleaID>0</CasePleaID>
        <FatherName xml:space="preserve">        </FatherName>
        <LinkedCaseID>0</LinkedCaseID>
        <PartyID>1</PartyID>
        <CasePartyCategoryID>2</CasePartyCategoryID>
        <LegalEntityAddressID>70751300</LegalEntityAddressID>
        <LegalEntityEmailAddressID>67840163</LegalEntityEmailAddressID>
        <PleaTypeID>6</PleaTypeID>
        <LawyerOfficeName>משרד עו"ד: יהושע רובין</LawyerOfficeName>
        <LawyerOfficeID>423695</LawyerOfficeID>
        <GroupPartyAlias/>
        <IsConverted>false</IsConverted>
        <LegalEntityNameID>4035</LegalEntityNameID>
        <RepresentatedNamesOfAssistant/>
        <LegalEntityTypeID>4</LegalEntityTypeID>
        <IsVerdictExists>false</IsVerdictExists>
        <IsAsirAzir>false</IsAsirAzir>
        <IsPublicationProhibited>false</IsPublicationProhibited>
        <PublicationProhibitedFullName>יהושע רובין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ישראל חלף</FullName>
        <FirstName>ישראל</FirstName>
        <LastName>חלף</LastName>
        <PartyPropertyName/>
        <AuthenticationTypeAndNumber>ת"ז 313834913</AuthenticationTypeAndNumber>
        <RepresentatedOrRepresentativesNames>יהושע רובין</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257502292</CasePartyID>
        <PartyTypeID>1</PartyTypeID>
        <ActivityStatusID>1</ActivityStatusID>
        <PartyAliasID>5</PartyAliasID>
        <PartyAliasName>מערער</PartyAliasName>
        <OrdinalNumber>1</OrdinalNumber>
        <LegalEntityID>7576173</LegalEntityID>
        <CaseLegalEntityID>124911290</CaseLegalEntityID>
        <AuthenticationTypeID>1</AuthenticationTypeID>
        <AuthenticationTypeName>ת"ז</AuthenticationTypeName>
        <LegalEntityNumber>313834913</LegalEntityNumber>
        <IsMainPartyType>true</IsMainPartyType>
        <CaseDisplayIdentifier>60415-06-23</CaseDisplayIdentifier>
        <CaseTypeID>63</CaseTypeID>
        <CaseTypeName>ערעור משפחה (עמ"ש)</CaseTypeName>
        <CaseName>חלף ואח' נ' חאזן</CaseName>
        <FullAddress>קאודרס 17/1 חיפה </FullAddress>
        <MotionID>0</MotionID>
        <CasePleaID>0</CasePleaID>
        <FatherName/>
        <LinkedCaseID>0</LinkedCaseID>
        <PartyID>1</PartyID>
        <CasePartyCategoryID>2</CasePartyCategoryID>
        <LegalEntityAddressID>88090668</LegalEntityAddressID>
        <PleaTypeID>6</PleaTypeID>
        <GroupPartyAlias>מערערים</GroupPartyAlias>
        <IsConverted>false</IsConverted>
        <LegalEntityNameID>84206078</LegalEntityNameID>
        <RepresentatedNamesOfAssistant/>
        <LegalEntityTypeID>1</LegalEntityTypeID>
        <IsVerdictExists>false</IsVerdictExists>
        <IsAsirAzir>false</IsAsirAzir>
        <IsPublicationProhibited>false</IsPublicationProhibited>
        <PublicationProhibitedFullName>ישראל חלף</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אמירה חאזן</FullName>
        <FirstName>אמירה</FirstName>
        <LastName>ח'לוף</LastName>
        <PartyPropertyName/>
        <AuthenticationTypeAndNumber>ת"ז 025964669</AuthenticationTypeAndNumber>
        <RepresentatedOrRepresentativesNames>סמאח אבו גליל</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257502294</CasePartyID>
        <PartyTypeID>1</PartyTypeID>
        <ActivityStatusID>1</ActivityStatusID>
        <PartyAliasID>4</PartyAliasID>
        <PartyAliasName>משיב</PartyAliasName>
        <OrdinalNumber>1</OrdinalNumber>
        <LegalEntityID>3727338</LegalEntityID>
        <CaseLegalEntityID>124911292</CaseLegalEntityID>
        <AuthenticationTypeID>1</AuthenticationTypeID>
        <AuthenticationTypeName>ת"ז</AuthenticationTypeName>
        <LegalEntityNumber>025964669</LegalEntityNumber>
        <IsMainPartyType>true</IsMainPartyType>
        <CaseDisplayIdentifier>60415-06-23</CaseDisplayIdentifier>
        <CaseTypeID>63</CaseTypeID>
        <CaseTypeName>ערעור משפחה (עמ"ש)</CaseTypeName>
        <CaseName>חלף ואח' נ' חאזן</CaseName>
        <FullAddress>שפרעם </FullAddress>
        <MotionID>0</MotionID>
        <CasePleaID>0</CasePleaID>
        <FatherName>ח'ליל</FatherName>
        <LinkedCaseID>0</LinkedCaseID>
        <PartyID>2</PartyID>
        <CasePartyCategoryID>2</CasePartyCategoryID>
        <LegalEntityAddressID>80195517</LegalEntityAddressID>
        <PleaTypeID>6</PleaTypeID>
        <GroupPartyAlias>משיבים</GroupPartyAlias>
        <IsConverted>false</IsConverted>
        <LegalEntityRegisteredNameID>6613856</LegalEntityRegisteredNameID>
        <LegalEntityNameID>84206080</LegalEntityNameID>
        <RepresentatedNamesOfAssistant/>
        <LegalEntityTypeID>1</LegalEntityTypeID>
        <IsVerdictExists>false</IsVerdictExists>
        <IsAsirAzir>false</IsAsirAzir>
        <IsPublicationProhibited>false</IsPublicationProhibited>
        <PublicationProhibitedFullName>אמירה חאזן</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תמרה חלף</FullName>
        <FirstName>תמרה</FirstName>
        <LastName>חלף</LastName>
        <PartyPropertyName/>
        <AuthenticationTypeAndNumber>ת"ז 037402641</AuthenticationTypeAndNumber>
        <RepresentatedOrRepresentativesNames>יהושע רובין</RepresentatedOrRepresentativesNames>
        <RepresentatedOrRepresentativesCount>1</RepresentatedOrRepresentativesCount>
        <InvitedBy/>
        <CaseID>80374350</CaseID>
        <CaseJudicialPersonPresentationDS>
          <CaseJudicalPersonActive>
            <CaseID>80374350</CaseID>
            <JudicialPersonID>056479827@GOV.IL</JudicialPersonID>
            <JudicialPersonTypeID>1</JudicialPersonTypeID>
            <JudicialTypeID>3</JudicialTypeID>
            <IsChairman>true</IsChairman>
            <TreatmentStartDate>2024-01-28T09:08:08.25+02:00</TreatmentStartDate>
            <TreatmentFinishDate>9999-12-31T23:59:59.997+02:00</TreatmentFinishDate>
            <IdentificationCardNumber>056479827</IdentificationCardNumber>
            <DisplayName>חננאל שרעבי</DisplayName>
            <JudicialTypeName>הרכב שופטים</JudicialTypeName>
            <CaseJudicialGroupNumber>565889</CaseJudicialGroupNumber>
            <FirstName>חננאל</FirstName>
            <LastName>שרעבי</LastName>
            <JudicialPersonTitle>שופט</JudicialPersonTitle>
          </CaseJudicalPersonActive>
          <CaseJudicalPersonActive>
            <CaseID>80374350</CaseID>
            <JudicialPersonID>057955775@GOV.IL</JudicialPersonID>
            <JudicialPersonTypeID>1</JudicialPersonTypeID>
            <JudicialTypeID>3</JudicialTypeID>
            <IsChairman>false</IsChairman>
            <TreatmentStartDate>2024-01-28T09:08:08.25+02:00</TreatmentStartDate>
            <TreatmentFinishDate>9999-12-31T23:59:59.997+02:00</TreatmentFinishDate>
            <IdentificationCardNumber>057955775</IdentificationCardNumber>
            <DisplayName>אספרנצה אלון</DisplayName>
            <JudicialTypeName>הרכב שופטים</JudicialTypeName>
            <CaseJudicialGroupNumber>565889</CaseJudicialGroupNumber>
            <FirstName>אספרנצה</FirstName>
            <LastName>אלון</LastName>
            <JudicialPersonTitle>שופט</JudicialPersonTitle>
          </CaseJudicalPersonActive>
          <CaseJudicalPersonActive>
            <CaseID>80374350</CaseID>
            <JudicialPersonID>058677980@GOV.IL</JudicialPersonID>
            <JudicialPersonTypeID>1</JudicialPersonTypeID>
            <JudicialTypeID>3</JudicialTypeID>
            <IsChairman>false</IsChairman>
            <TreatmentStartDate>2024-01-28T09:08:08.25+02:00</TreatmentStartDate>
            <TreatmentFinishDate>9999-12-31T23:59:59.997+02:00</TreatmentFinishDate>
            <IdentificationCardNumber>058677980</IdentificationCardNumber>
            <DisplayName>אריה נאמן</DisplayName>
            <JudicialTypeName>הרכב שופטים</JudicialTypeName>
            <CaseJudicialGroupNumber>565889</CaseJudicialGroupNumber>
            <FirstName>אריה</FirstName>
            <LastName>נאמן</LastName>
            <JudicialPersonTitle>שופט</JudicialPersonTitle>
          </CaseJudicalPersonActive>
        </CaseJudicialPersonPresentationDS>
        <CasePartyID>257502293</CasePartyID>
        <PartyTypeID>1</PartyTypeID>
        <ActivityStatusID>1</ActivityStatusID>
        <PartyAliasID>5</PartyAliasID>
        <PartyAliasName>מערער</PartyAliasName>
        <OrdinalNumber>2</OrdinalNumber>
        <LegalEntityID>7571422</LegalEntityID>
        <CaseLegalEntityID>124911291</CaseLegalEntityID>
        <AuthenticationTypeID>1</AuthenticationTypeID>
        <AuthenticationTypeName>ת"ז</AuthenticationTypeName>
        <LegalEntityNumber>037402641</LegalEntityNumber>
        <IsMainPartyType>true</IsMainPartyType>
        <CaseDisplayIdentifier>60415-06-23</CaseDisplayIdentifier>
        <CaseTypeID>63</CaseTypeID>
        <CaseTypeName>ערעור משפחה (עמ"ש)</CaseTypeName>
        <CaseName>חלף ואח' נ' חאזן</CaseName>
        <FullAddress>קאודרס בן ציון 17/1 חיפה </FullAddress>
        <MotionID>0</MotionID>
        <CasePleaID>0</CasePleaID>
        <FatherName>אריאל</FatherName>
        <LinkedCaseID>0</LinkedCaseID>
        <PartyID>1</PartyID>
        <CasePartyCategoryID>2</CasePartyCategoryID>
        <LegalEntityAddressID>88090671</LegalEntityAddressID>
        <PleaTypeID>6</PleaTypeID>
        <GroupPartyAlias>מערערים</GroupPartyAlias>
        <IsConverted>false</IsConverted>
        <LegalEntityRegisteredNameID>6613855</LegalEntityRegisteredNameID>
        <LegalEntityNameID>84206079</LegalEntityNameID>
        <RepresentatedNamesOfAssistant/>
        <LegalEntityTypeID>1</LegalEntityTypeID>
        <IsVerdictExists>false</IsVerdictExists>
        <IsAsirAzir>false</IsAsirAzir>
        <IsPublicationProhibited>false</IsPublicationProhibited>
        <PublicationProhibitedFullName>תמרה חלף</PublicationProhibitedFullName>
      </CaseParties>
    </CasePartiesSelectionDS>
    <CaseName>חלף ואח' נ' חאזן</CaseName>
    <CaseDisplayIdentifier>60415-06-23</CaseDisplayIdentifier>
    <CaseInterestID>67</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04-8107052</Fax>
    <Phone>04-8107030</Phone>
    <PartyID>2</PartyID>
    <PartyTypeID>2</PartyTypeID>
    <DecisionID>0</DecisionID>
    <StreetName>ת.ד. 975</StreetName>
    <ZipCode>20200</ZipCode>
    <CityName>שפרעם</CityName>
    <FullName>סמאח אבו גליל</FullName>
    <Email>ogo720@hotmail.com</Email>
    <IsPublicationProhibited>false</IsPublicationProhibited>
  </dt_LegalEntityDetails>
  <dt_LegalEntityDetails>
    <Fax>02-6547711</Fax>
    <Phone>02-5084535</Phone>
    <AddressDesc/>
    <PartyID>1</PartyID>
    <PartyTypeID>3</PartyTypeID>
    <DecisionID>0</DecisionID>
    <AssistantRoleID>33</AssistantRoleID>
    <StreetName>הרטום 8 הר חוצבים </StreetName>
    <ZipCode>91451</ZipCode>
    <CityName>ירושלים</CityName>
    <FullName> המרכז לגביית קנסות אגרות והוצאות</FullName>
    <Email/>
    <IsPublicationProhibited>false</IsPublicationProhibited>
  </dt_LegalEntityDetails>
  <dt_LegalEntityDetails>
    <PartyID>1</PartyID>
    <PartyTypeID>1</PartyTypeID>
    <DecisionID>0</DecisionID>
    <StreetName>קאודרס 17/1</StreetName>
    <CityName>חיפה</CityName>
    <FullName>ישראל חלף</FullName>
    <IsPublicationProhibited>false</IsPublicationProhibited>
  </dt_LegalEntityDetails>
  <dt_LegalEntityDetails>
    <PartyID>2</PartyID>
    <PartyTypeID>1</PartyTypeID>
    <DecisionID>0</DecisionID>
    <CityName>שפרעם</CityName>
    <FullName>אמירה חאזן</FullName>
    <IsPublicationProhibited>false</IsPublicationProhibited>
  </dt_LegalEntityDetails>
  <dt_LegalEntityDetails>
    <Fax>04-6560188</Fax>
    <Phone>04-6571417</Phone>
    <PartyID>1</PartyID>
    <PartyTypeID>2</PartyTypeID>
    <DecisionID>0</DecisionID>
    <StreetName>אורה 1 דירה 20 </StreetName>
    <ZipCode>17000</ZipCode>
    <CityName>נוף הגליל</CityName>
    <FullName>יהושע רובין</FullName>
    <Email>abc12345@bezeqint.net</Email>
    <IsPublicationProhibited>false</IsPublicationProhibited>
  </dt_LegalEntityDetails>
  <dt_LegalEntityDetails>
    <PartyID>1</PartyID>
    <PartyTypeID>1</PartyTypeID>
    <DecisionID>0</DecisionID>
    <StreetName>קאודרס בן ציון 17/1</StreetName>
    <CityName>חיפה</CityName>
    <FullName>תמרה חלף</FullName>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2024-06-24T11:00:00+03:00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4017-0F59-4AE8-97B6-084755E49697}">
  <ds:schemaRefs/>
</ds:datastoreItem>
</file>

<file path=customXml/itemProps2.xml><?xml version="1.0" encoding="utf-8"?>
<ds:datastoreItem xmlns:ds="http://schemas.openxmlformats.org/officeDocument/2006/customXml" ds:itemID="{1FAEB4AE-C6E8-415F-B7D2-6B74E5EB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2132</Words>
  <Characters>10662</Characters>
  <Application>Microsoft Office Word</Application>
  <DocSecurity>0</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2024-07-04T07:04:00Z</dcterms:created>
  <dcterms:modified xsi:type="dcterms:W3CDTF">2024-07-04T07:04:00Z</dcterms:modified>
</cp:coreProperties>
</file>